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C85D" w14:textId="75A3878C" w:rsidR="003A1F76" w:rsidRDefault="005A511D" w:rsidP="00DC4618">
      <w:pPr>
        <w:spacing w:line="240" w:lineRule="auto"/>
        <w:jc w:val="center"/>
        <w:rPr>
          <w:sz w:val="44"/>
          <w:szCs w:val="44"/>
        </w:rPr>
      </w:pPr>
      <w:r w:rsidRPr="001E0171">
        <w:rPr>
          <w:sz w:val="24"/>
          <w:szCs w:val="24"/>
        </w:rPr>
        <w:t xml:space="preserve">  </w:t>
      </w:r>
      <w:r w:rsidR="00DC4618" w:rsidRPr="001E0171">
        <w:rPr>
          <w:sz w:val="24"/>
          <w:szCs w:val="24"/>
        </w:rPr>
        <w:br/>
      </w:r>
      <w:r w:rsidR="00C4556E" w:rsidRPr="003900BB">
        <w:rPr>
          <w:sz w:val="44"/>
          <w:szCs w:val="44"/>
        </w:rPr>
        <w:t xml:space="preserve">MarineGEO </w:t>
      </w:r>
      <w:r w:rsidR="00BD29B6" w:rsidRPr="003900BB">
        <w:rPr>
          <w:sz w:val="44"/>
          <w:szCs w:val="44"/>
        </w:rPr>
        <w:t xml:space="preserve">Data </w:t>
      </w:r>
      <w:r w:rsidR="003A1F76">
        <w:rPr>
          <w:sz w:val="44"/>
          <w:szCs w:val="44"/>
        </w:rPr>
        <w:t xml:space="preserve">Terms of Use </w:t>
      </w:r>
    </w:p>
    <w:p w14:paraId="30FB5A3A" w14:textId="2ABE1664" w:rsidR="00AF125D" w:rsidRDefault="003A1F76" w:rsidP="00DC4618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and </w:t>
      </w:r>
      <w:r w:rsidR="00BD29B6" w:rsidRPr="003900BB">
        <w:rPr>
          <w:sz w:val="44"/>
          <w:szCs w:val="44"/>
        </w:rPr>
        <w:t>Authorship</w:t>
      </w:r>
      <w:r>
        <w:rPr>
          <w:sz w:val="44"/>
          <w:szCs w:val="44"/>
        </w:rPr>
        <w:t xml:space="preserve"> </w:t>
      </w:r>
      <w:r w:rsidRPr="003900BB">
        <w:rPr>
          <w:sz w:val="44"/>
          <w:szCs w:val="44"/>
        </w:rPr>
        <w:t>Policy</w:t>
      </w:r>
    </w:p>
    <w:p w14:paraId="72438731" w14:textId="77777777" w:rsidR="003900BB" w:rsidRPr="003900BB" w:rsidRDefault="003900BB" w:rsidP="00DC4618">
      <w:pPr>
        <w:spacing w:line="240" w:lineRule="auto"/>
        <w:jc w:val="center"/>
        <w:rPr>
          <w:sz w:val="44"/>
          <w:szCs w:val="44"/>
        </w:rPr>
      </w:pPr>
    </w:p>
    <w:p w14:paraId="217A04FB" w14:textId="54C3D766" w:rsidR="00A51049" w:rsidRPr="003C484E" w:rsidRDefault="00A51049" w:rsidP="00E116AB">
      <w:pPr>
        <w:spacing w:line="240" w:lineRule="auto"/>
        <w:rPr>
          <w:rFonts w:cs="Kartika"/>
          <w:sz w:val="28"/>
          <w:szCs w:val="28"/>
        </w:rPr>
      </w:pPr>
    </w:p>
    <w:p w14:paraId="4338FECE" w14:textId="769B6234" w:rsidR="007C539C" w:rsidRDefault="007C539C" w:rsidP="00D355B3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42134D1E" wp14:editId="523E566D">
                <wp:extent cx="5899868" cy="1404620"/>
                <wp:effectExtent l="0" t="0" r="24765" b="19685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C11EC" w14:textId="77777777" w:rsidR="007C539C" w:rsidRDefault="007C539C" w:rsidP="007C539C">
                            <w:r>
                              <w:rPr>
                                <w:b/>
                              </w:rPr>
                              <w:t>Summary</w:t>
                            </w:r>
                          </w:p>
                          <w:p w14:paraId="05887DFA" w14:textId="77777777" w:rsidR="007C539C" w:rsidRDefault="007C539C" w:rsidP="007C539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Most data are made available to all participants in the network immediately after basic quality control.</w:t>
                            </w:r>
                          </w:p>
                          <w:p w14:paraId="6055A162" w14:textId="77777777" w:rsidR="007C539C" w:rsidRDefault="007C539C" w:rsidP="007C539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Data are typically made public within 2 years of submission. </w:t>
                            </w:r>
                          </w:p>
                          <w:p w14:paraId="501D03F8" w14:textId="77777777" w:rsidR="007C539C" w:rsidRDefault="007C539C" w:rsidP="007C539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Use of data prior to its public release requires pre-approval by the MarineGEO Central Team and proper attribution on any scientific products.</w:t>
                            </w:r>
                          </w:p>
                          <w:p w14:paraId="042E12FF" w14:textId="77777777" w:rsidR="007C539C" w:rsidRPr="0064721C" w:rsidRDefault="007C539C" w:rsidP="007C539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Participants who make substantial contributions to MarineGEO activities will be eligible for co-authorship on resulting publications and products.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134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">
                <v:textbox style="mso-fit-shape-to-text:t">
                  <w:txbxContent>
                    <w:p w14:paraId="723C11EC" w14:textId="77777777" w:rsidR="007C539C" w:rsidRDefault="007C539C" w:rsidP="007C539C">
                      <w:r>
                        <w:rPr>
                          <w:b/>
                        </w:rPr>
                        <w:t>Summary</w:t>
                      </w:r>
                    </w:p>
                    <w:p w14:paraId="05887DFA" w14:textId="77777777" w:rsidR="007C539C" w:rsidRDefault="007C539C" w:rsidP="007C539C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Most data are made available to all participants in the network immediately after basic quality control.</w:t>
                      </w:r>
                    </w:p>
                    <w:p w14:paraId="6055A162" w14:textId="77777777" w:rsidR="007C539C" w:rsidRDefault="007C539C" w:rsidP="007C539C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Data are typically made public within 2 years of submission. </w:t>
                      </w:r>
                    </w:p>
                    <w:p w14:paraId="501D03F8" w14:textId="77777777" w:rsidR="007C539C" w:rsidRDefault="007C539C" w:rsidP="007C539C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Use of data prior to its public release requires pre-approval by the MarineGEO Central Team and proper attribution on any scientific products.</w:t>
                      </w:r>
                    </w:p>
                    <w:p w14:paraId="042E12FF" w14:textId="77777777" w:rsidR="007C539C" w:rsidRPr="0064721C" w:rsidRDefault="007C539C" w:rsidP="007C539C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Participants who make substantial contributions to MarineGEO activities will be eligible for co-authorship on resulting publications and products.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56F4F" w14:textId="77777777" w:rsidR="007C539C" w:rsidRDefault="007C539C" w:rsidP="00D355B3">
      <w:pPr>
        <w:spacing w:line="240" w:lineRule="auto"/>
        <w:rPr>
          <w:b/>
        </w:rPr>
      </w:pPr>
    </w:p>
    <w:p w14:paraId="017095AD" w14:textId="7C940AF6" w:rsidR="00EF6B83" w:rsidRPr="000217DA" w:rsidRDefault="00EF6B83" w:rsidP="00D355B3">
      <w:pPr>
        <w:spacing w:line="240" w:lineRule="auto"/>
        <w:rPr>
          <w:b/>
        </w:rPr>
      </w:pPr>
      <w:r w:rsidRPr="000217DA">
        <w:rPr>
          <w:b/>
        </w:rPr>
        <w:t>Overview</w:t>
      </w:r>
    </w:p>
    <w:p w14:paraId="700F0154" w14:textId="0AB2E915" w:rsidR="00EF6B83" w:rsidRDefault="00EF6B83" w:rsidP="00D355B3">
      <w:pPr>
        <w:spacing w:line="240" w:lineRule="auto"/>
      </w:pPr>
    </w:p>
    <w:p w14:paraId="0CA47DF5" w14:textId="74A5138D" w:rsidR="00EF6B83" w:rsidRDefault="00AD1AF0" w:rsidP="00D355B3">
      <w:pPr>
        <w:spacing w:line="240" w:lineRule="auto"/>
      </w:pPr>
      <w:r>
        <w:t xml:space="preserve">The Smithsonian-led </w:t>
      </w:r>
      <w:r w:rsidRPr="003900BB">
        <w:t>MarineGEO</w:t>
      </w:r>
      <w:r>
        <w:t xml:space="preserve"> program </w:t>
      </w:r>
      <w:r w:rsidR="00574614">
        <w:t xml:space="preserve">values collaboration and open sharing of our collective knowledge. </w:t>
      </w:r>
      <w:r w:rsidR="003900BB">
        <w:t>Acquiring</w:t>
      </w:r>
      <w:r w:rsidR="00811535">
        <w:t xml:space="preserve">, curating, sharing, and analyzing data are central functions </w:t>
      </w:r>
      <w:r w:rsidR="00574614">
        <w:t>of our</w:t>
      </w:r>
      <w:r w:rsidR="00811535">
        <w:t xml:space="preserve"> network</w:t>
      </w:r>
      <w:r w:rsidR="00574614">
        <w:t>’s</w:t>
      </w:r>
      <w:r w:rsidR="00811535">
        <w:t xml:space="preserve"> research. </w:t>
      </w:r>
      <w:r w:rsidR="00EF6B83">
        <w:t xml:space="preserve">This document summarizes guidelines for data contribution, sharing, and authorship </w:t>
      </w:r>
      <w:r w:rsidR="00204A0D">
        <w:t xml:space="preserve">by </w:t>
      </w:r>
      <w:r w:rsidR="00530C3E">
        <w:t xml:space="preserve">contributors to </w:t>
      </w:r>
      <w:r w:rsidR="00EF6B83">
        <w:t xml:space="preserve">activities coordinated by </w:t>
      </w:r>
      <w:r w:rsidR="00EF6B83" w:rsidRPr="003900BB">
        <w:t>MarineGEO</w:t>
      </w:r>
      <w:r w:rsidR="00EF6B83">
        <w:t xml:space="preserve">. </w:t>
      </w:r>
      <w:r w:rsidR="00473D4C">
        <w:t>A</w:t>
      </w:r>
      <w:r w:rsidR="00811535">
        <w:t>dherence to the</w:t>
      </w:r>
      <w:r w:rsidR="006C655B">
        <w:t>se terms</w:t>
      </w:r>
      <w:r w:rsidR="00811535">
        <w:t xml:space="preserve"> is a requirement for any use of MarineGEO data or participation in any</w:t>
      </w:r>
      <w:r w:rsidR="00473D4C">
        <w:t xml:space="preserve"> MarineGEO activit</w:t>
      </w:r>
      <w:r w:rsidR="00811535">
        <w:t>y</w:t>
      </w:r>
      <w:r w:rsidR="00473D4C">
        <w:t xml:space="preserve"> that involve</w:t>
      </w:r>
      <w:r w:rsidR="00811535">
        <w:t>s</w:t>
      </w:r>
      <w:r w:rsidR="00473D4C">
        <w:t xml:space="preserve"> data collection. </w:t>
      </w:r>
      <w:r w:rsidR="00A54F66">
        <w:t xml:space="preserve">MarineGEO reserves the right to modify the terms as needed, with notification to all partners. </w:t>
      </w:r>
    </w:p>
    <w:p w14:paraId="708600BA" w14:textId="77777777" w:rsidR="00EF6B83" w:rsidRDefault="00EF6B83" w:rsidP="00D355B3">
      <w:pPr>
        <w:spacing w:line="240" w:lineRule="auto"/>
      </w:pPr>
    </w:p>
    <w:p w14:paraId="2B406DAA" w14:textId="78020B18" w:rsidR="00661691" w:rsidRDefault="00DC4618" w:rsidP="00D355B3">
      <w:pPr>
        <w:spacing w:line="240" w:lineRule="auto"/>
        <w:rPr>
          <w:b/>
        </w:rPr>
      </w:pPr>
      <w:r>
        <w:rPr>
          <w:b/>
        </w:rPr>
        <w:t xml:space="preserve">Terms &amp; </w:t>
      </w:r>
      <w:r w:rsidR="00642446">
        <w:rPr>
          <w:b/>
        </w:rPr>
        <w:t>Definitions</w:t>
      </w:r>
    </w:p>
    <w:p w14:paraId="2FEF9579" w14:textId="66576CE3" w:rsidR="00661691" w:rsidRPr="00EF6B83" w:rsidRDefault="00661691" w:rsidP="00D355B3">
      <w:pPr>
        <w:spacing w:line="240" w:lineRule="auto"/>
      </w:pPr>
    </w:p>
    <w:p w14:paraId="42F93A26" w14:textId="2A2B826A" w:rsidR="00EF6B83" w:rsidRPr="00EF6B83" w:rsidRDefault="00EF6B83" w:rsidP="00D355B3">
      <w:pPr>
        <w:spacing w:line="240" w:lineRule="auto"/>
      </w:pPr>
      <w:r w:rsidRPr="003900BB">
        <w:rPr>
          <w:i/>
        </w:rPr>
        <w:t>MarineGEO</w:t>
      </w:r>
      <w:r w:rsidRPr="00EF6B83">
        <w:t xml:space="preserve"> refers to </w:t>
      </w:r>
      <w:r w:rsidR="006930B7">
        <w:t xml:space="preserve">both </w:t>
      </w:r>
      <w:r w:rsidRPr="00EF6B83">
        <w:t>t</w:t>
      </w:r>
      <w:r>
        <w:t>h</w:t>
      </w:r>
      <w:r w:rsidRPr="00EF6B83">
        <w:t>e Marine Global Earth Observatory</w:t>
      </w:r>
      <w:r>
        <w:t xml:space="preserve"> </w:t>
      </w:r>
      <w:r w:rsidR="006930B7">
        <w:t xml:space="preserve">research </w:t>
      </w:r>
      <w:r>
        <w:t xml:space="preserve">program and the </w:t>
      </w:r>
      <w:r w:rsidR="003900BB">
        <w:t xml:space="preserve">broader </w:t>
      </w:r>
      <w:r>
        <w:t>community (network) of partners that</w:t>
      </w:r>
      <w:r w:rsidR="006930B7">
        <w:t xml:space="preserve"> conduct its activities</w:t>
      </w:r>
      <w:r>
        <w:t xml:space="preserve">, </w:t>
      </w:r>
      <w:r w:rsidR="006930B7">
        <w:t xml:space="preserve">which are </w:t>
      </w:r>
      <w:r>
        <w:t>led and coordinated</w:t>
      </w:r>
      <w:r w:rsidR="006930B7">
        <w:t xml:space="preserve"> by the MarineGEO Central </w:t>
      </w:r>
      <w:r w:rsidR="0027078D">
        <w:t>t</w:t>
      </w:r>
      <w:r w:rsidR="006930B7">
        <w:t xml:space="preserve">eam at the Smithsonian Institution. </w:t>
      </w:r>
    </w:p>
    <w:p w14:paraId="5A6811B7" w14:textId="5E4F5FEB" w:rsidR="00661691" w:rsidRDefault="00661691" w:rsidP="00661691">
      <w:pPr>
        <w:spacing w:line="240" w:lineRule="auto"/>
        <w:rPr>
          <w:i/>
        </w:rPr>
      </w:pPr>
    </w:p>
    <w:p w14:paraId="261F9257" w14:textId="1950FE37" w:rsidR="006930B7" w:rsidRDefault="006930B7" w:rsidP="00661691">
      <w:pPr>
        <w:spacing w:line="240" w:lineRule="auto"/>
      </w:pPr>
      <w:r>
        <w:rPr>
          <w:i/>
        </w:rPr>
        <w:t xml:space="preserve">MarineGEO Central </w:t>
      </w:r>
      <w:r w:rsidRPr="003900BB">
        <w:t xml:space="preserve">refers to the </w:t>
      </w:r>
      <w:r w:rsidR="000217DA">
        <w:t xml:space="preserve">leadership and support team, based at the Smithsonian, that coordinates MarineGEO activities. </w:t>
      </w:r>
      <w:r w:rsidR="00204A0D" w:rsidRPr="000217DA">
        <w:t>MarineGEO</w:t>
      </w:r>
      <w:r w:rsidR="00204A0D">
        <w:t xml:space="preserve"> Central is responsible for collating, curating, archiving, and serving </w:t>
      </w:r>
      <w:r w:rsidR="00574614">
        <w:t>MarineGEO</w:t>
      </w:r>
      <w:r w:rsidR="00204A0D">
        <w:t xml:space="preserve"> data to contributing participants and, where appropriate, to the public.</w:t>
      </w:r>
    </w:p>
    <w:p w14:paraId="037FE1F0" w14:textId="5C0B669D" w:rsidR="003900BB" w:rsidRDefault="003900BB" w:rsidP="00661691">
      <w:pPr>
        <w:spacing w:line="240" w:lineRule="auto"/>
      </w:pPr>
    </w:p>
    <w:p w14:paraId="3C6C783E" w14:textId="5F004A8C" w:rsidR="003900BB" w:rsidRDefault="003900BB" w:rsidP="00661691">
      <w:pPr>
        <w:spacing w:line="240" w:lineRule="auto"/>
      </w:pPr>
      <w:r>
        <w:rPr>
          <w:i/>
        </w:rPr>
        <w:t>Data</w:t>
      </w:r>
      <w:r>
        <w:t xml:space="preserve"> refers to all content generated by MarineGEO activities, including measurements stored in spreadsheets and on original field sheets, images, video, genetic sequences, GIS layers, computer code, and associated metadata.</w:t>
      </w:r>
    </w:p>
    <w:p w14:paraId="76E9BFE3" w14:textId="77777777" w:rsidR="000217DA" w:rsidRDefault="000217DA" w:rsidP="00661691">
      <w:pPr>
        <w:spacing w:line="240" w:lineRule="auto"/>
        <w:rPr>
          <w:i/>
        </w:rPr>
      </w:pPr>
    </w:p>
    <w:p w14:paraId="37E57891" w14:textId="45BA87D3" w:rsidR="0064721C" w:rsidRPr="00661691" w:rsidRDefault="00661691" w:rsidP="00D355B3">
      <w:pPr>
        <w:spacing w:line="240" w:lineRule="auto"/>
      </w:pPr>
      <w:r>
        <w:t xml:space="preserve">A </w:t>
      </w:r>
      <w:r w:rsidRPr="001A1465">
        <w:rPr>
          <w:i/>
        </w:rPr>
        <w:t>contributing participant</w:t>
      </w:r>
      <w:r>
        <w:t xml:space="preserve"> is any party who ha</w:t>
      </w:r>
      <w:r w:rsidR="00906F3C">
        <w:t>s</w:t>
      </w:r>
      <w:r>
        <w:t xml:space="preserve"> collected </w:t>
      </w:r>
      <w:r w:rsidR="00C15D3F">
        <w:t>and</w:t>
      </w:r>
      <w:r>
        <w:t xml:space="preserve"> contributed </w:t>
      </w:r>
      <w:r w:rsidR="00906F3C">
        <w:t xml:space="preserve">original </w:t>
      </w:r>
      <w:r>
        <w:t>data</w:t>
      </w:r>
      <w:r w:rsidR="00906F3C">
        <w:t xml:space="preserve"> to MarineGEO</w:t>
      </w:r>
      <w:r w:rsidR="00590AF5">
        <w:t xml:space="preserve">. </w:t>
      </w:r>
      <w:r w:rsidR="00906F3C">
        <w:t>Participants</w:t>
      </w:r>
      <w:r w:rsidR="00906F3C" w:rsidRPr="00590AF5">
        <w:t xml:space="preserve"> </w:t>
      </w:r>
      <w:r w:rsidR="00906F3C">
        <w:t xml:space="preserve">can </w:t>
      </w:r>
      <w:r w:rsidR="002A47B2">
        <w:t xml:space="preserve">include principal investigators, technicians, students, and/or </w:t>
      </w:r>
      <w:r w:rsidR="00590AF5" w:rsidRPr="00590AF5">
        <w:lastRenderedPageBreak/>
        <w:t>volunteers</w:t>
      </w:r>
      <w:r w:rsidR="00906F3C">
        <w:t xml:space="preserve"> at MarineGEO partner institutions, as well as those contributing to a MarineGEO project by mutual agreement</w:t>
      </w:r>
      <w:r w:rsidR="00590AF5">
        <w:t>.</w:t>
      </w:r>
    </w:p>
    <w:p w14:paraId="2574016B" w14:textId="77777777" w:rsidR="00661691" w:rsidRDefault="00661691" w:rsidP="00D355B3">
      <w:pPr>
        <w:spacing w:line="240" w:lineRule="auto"/>
      </w:pPr>
    </w:p>
    <w:p w14:paraId="08E9A8FC" w14:textId="07019AB7" w:rsidR="00DC4618" w:rsidRDefault="00DC4618" w:rsidP="00D355B3">
      <w:pPr>
        <w:spacing w:line="240" w:lineRule="auto"/>
      </w:pPr>
      <w:r>
        <w:rPr>
          <w:b/>
        </w:rPr>
        <w:t>Data Collection</w:t>
      </w:r>
    </w:p>
    <w:p w14:paraId="63990285" w14:textId="07745560" w:rsidR="00DC4618" w:rsidRDefault="00DC4618" w:rsidP="00D355B3">
      <w:pPr>
        <w:spacing w:line="240" w:lineRule="auto"/>
      </w:pPr>
    </w:p>
    <w:p w14:paraId="14FBFC86" w14:textId="58BE609B" w:rsidR="00DC4618" w:rsidRDefault="0000520C" w:rsidP="00D355B3">
      <w:pPr>
        <w:spacing w:line="240" w:lineRule="auto"/>
      </w:pPr>
      <w:r>
        <w:t xml:space="preserve">MarineGEO provides standard protocols and data formats for most network activities. </w:t>
      </w:r>
      <w:r w:rsidR="00DC4618">
        <w:t xml:space="preserve">Contributing participants are responsible for ensuring </w:t>
      </w:r>
      <w:r w:rsidR="006D015D">
        <w:t xml:space="preserve">that </w:t>
      </w:r>
      <w:r w:rsidR="0039106C">
        <w:t>the</w:t>
      </w:r>
      <w:r>
        <w:t xml:space="preserve"> </w:t>
      </w:r>
      <w:r w:rsidR="00DC4618">
        <w:t xml:space="preserve">data </w:t>
      </w:r>
      <w:r>
        <w:t xml:space="preserve">they </w:t>
      </w:r>
      <w:r w:rsidR="00DC4618">
        <w:t xml:space="preserve">collect adhere to </w:t>
      </w:r>
      <w:r>
        <w:t xml:space="preserve">MarineGEO </w:t>
      </w:r>
      <w:r w:rsidR="00DC4618">
        <w:t xml:space="preserve">best practices. </w:t>
      </w:r>
      <w:r w:rsidR="0039106C">
        <w:t>C</w:t>
      </w:r>
      <w:r w:rsidR="00DC4618">
        <w:t xml:space="preserve">ontributing participants agree to utilize </w:t>
      </w:r>
      <w:r>
        <w:t xml:space="preserve">the </w:t>
      </w:r>
      <w:r w:rsidR="00DC4618">
        <w:t>resources provided by MarineGEO, including protocols, field sheets, and data entry spreadsheets.</w:t>
      </w:r>
    </w:p>
    <w:p w14:paraId="67708643" w14:textId="6DCBCC79" w:rsidR="00DC4618" w:rsidRDefault="00DC4618" w:rsidP="00D355B3">
      <w:pPr>
        <w:spacing w:line="240" w:lineRule="auto"/>
      </w:pPr>
    </w:p>
    <w:p w14:paraId="3E703B2A" w14:textId="1A34D093" w:rsidR="00DC4618" w:rsidRDefault="00DC4618" w:rsidP="00D355B3">
      <w:pPr>
        <w:spacing w:line="240" w:lineRule="auto"/>
      </w:pPr>
      <w:r>
        <w:rPr>
          <w:b/>
        </w:rPr>
        <w:t>Data Submission</w:t>
      </w:r>
    </w:p>
    <w:p w14:paraId="77325A16" w14:textId="52997DED" w:rsidR="00DC4618" w:rsidRDefault="00DC4618" w:rsidP="00D355B3">
      <w:pPr>
        <w:spacing w:line="240" w:lineRule="auto"/>
      </w:pPr>
    </w:p>
    <w:p w14:paraId="32B70E5D" w14:textId="290E1051" w:rsidR="00DC4618" w:rsidRPr="00DC4618" w:rsidRDefault="00DC4618" w:rsidP="00D355B3">
      <w:pPr>
        <w:spacing w:line="240" w:lineRule="auto"/>
      </w:pPr>
      <w:r>
        <w:t xml:space="preserve">Contributing participants are responsible for using </w:t>
      </w:r>
      <w:proofErr w:type="spellStart"/>
      <w:r>
        <w:t>MarineGEO’s</w:t>
      </w:r>
      <w:proofErr w:type="spellEnd"/>
      <w:r>
        <w:t xml:space="preserve"> data submission</w:t>
      </w:r>
      <w:r w:rsidR="00242F78">
        <w:t xml:space="preserve"> guidelines and</w:t>
      </w:r>
      <w:r>
        <w:t xml:space="preserve"> portal to submit their data </w:t>
      </w:r>
      <w:r w:rsidR="00DE043A">
        <w:t xml:space="preserve">for curation </w:t>
      </w:r>
      <w:r>
        <w:t>in a timely fashion (</w:t>
      </w:r>
      <w:r w:rsidR="00141DE7">
        <w:t xml:space="preserve">usually </w:t>
      </w:r>
      <w:r>
        <w:t xml:space="preserve">within </w:t>
      </w:r>
      <w:r w:rsidR="00242F78">
        <w:t xml:space="preserve">six </w:t>
      </w:r>
      <w:r>
        <w:t>months of collection</w:t>
      </w:r>
      <w:r w:rsidR="00141DE7">
        <w:t xml:space="preserve"> unless otherwise noted</w:t>
      </w:r>
      <w:r>
        <w:t>)</w:t>
      </w:r>
      <w:r w:rsidR="00242F78">
        <w:t xml:space="preserve">. Contributors also are responsible for </w:t>
      </w:r>
      <w:r w:rsidR="00DA3E4E">
        <w:t>respond</w:t>
      </w:r>
      <w:r w:rsidR="00242F78">
        <w:t>ing</w:t>
      </w:r>
      <w:r w:rsidR="00DA3E4E">
        <w:t xml:space="preserve"> </w:t>
      </w:r>
      <w:r w:rsidR="006D015D">
        <w:t xml:space="preserve">promptly </w:t>
      </w:r>
      <w:r w:rsidR="00DA3E4E">
        <w:t>to any requests that arise during the Quality Assurance</w:t>
      </w:r>
      <w:r w:rsidR="006D015D">
        <w:t>/</w:t>
      </w:r>
      <w:r w:rsidR="00DA3E4E">
        <w:t>Quality Control (QAQC) process</w:t>
      </w:r>
      <w:r>
        <w:t xml:space="preserve"> </w:t>
      </w:r>
      <w:r w:rsidR="00DA3E4E">
        <w:t>to ensure data quality and completeness</w:t>
      </w:r>
      <w:r>
        <w:t>.</w:t>
      </w:r>
    </w:p>
    <w:p w14:paraId="08E47EC3" w14:textId="77777777" w:rsidR="00DC4618" w:rsidRDefault="00DC4618" w:rsidP="00D355B3">
      <w:pPr>
        <w:spacing w:line="240" w:lineRule="auto"/>
        <w:rPr>
          <w:b/>
        </w:rPr>
      </w:pPr>
    </w:p>
    <w:p w14:paraId="7EDC48F3" w14:textId="4672926F" w:rsidR="00DC4618" w:rsidRDefault="001A1465" w:rsidP="00D355B3">
      <w:pPr>
        <w:spacing w:line="240" w:lineRule="auto"/>
      </w:pPr>
      <w:r>
        <w:rPr>
          <w:b/>
        </w:rPr>
        <w:t>Data Availability</w:t>
      </w:r>
    </w:p>
    <w:p w14:paraId="159C2774" w14:textId="77777777" w:rsidR="00DC4618" w:rsidRDefault="00DC4618" w:rsidP="00D355B3">
      <w:pPr>
        <w:spacing w:line="240" w:lineRule="auto"/>
      </w:pPr>
    </w:p>
    <w:p w14:paraId="0903800F" w14:textId="09016179" w:rsidR="00661691" w:rsidRDefault="000820CF" w:rsidP="00D355B3">
      <w:pPr>
        <w:spacing w:line="240" w:lineRule="auto"/>
      </w:pPr>
      <w:r>
        <w:t xml:space="preserve">MarineGEO </w:t>
      </w:r>
      <w:r w:rsidR="001B1E8E">
        <w:t xml:space="preserve">strives toward </w:t>
      </w:r>
      <w:r>
        <w:t>open</w:t>
      </w:r>
      <w:r w:rsidR="001B1E8E">
        <w:t>-access</w:t>
      </w:r>
      <w:r>
        <w:t xml:space="preserve"> data. </w:t>
      </w:r>
      <w:r w:rsidR="001B1E8E">
        <w:t>However, w</w:t>
      </w:r>
      <w:r>
        <w:t xml:space="preserve">e recognize </w:t>
      </w:r>
      <w:r w:rsidR="00155548">
        <w:t>there are different categories of data (</w:t>
      </w:r>
      <w:r w:rsidR="00155548" w:rsidRPr="00141DE7">
        <w:t>Table 1</w:t>
      </w:r>
      <w:proofErr w:type="gramStart"/>
      <w:r w:rsidR="00155548" w:rsidRPr="00141DE7">
        <w:t>)</w:t>
      </w:r>
      <w:proofErr w:type="gramEnd"/>
      <w:r w:rsidR="00155548" w:rsidRPr="00141DE7">
        <w:t xml:space="preserve"> and</w:t>
      </w:r>
      <w:r w:rsidR="00155548">
        <w:t xml:space="preserve"> contributors deserve priority </w:t>
      </w:r>
      <w:r w:rsidR="00141DE7">
        <w:t>in their capacity to utilize</w:t>
      </w:r>
      <w:r w:rsidR="00155548">
        <w:t xml:space="preserve"> certain types of data they contribute. In general, d</w:t>
      </w:r>
      <w:r w:rsidR="001A1465">
        <w:t xml:space="preserve">ata collected as part of MarineGEO activities will be made available to contributing participants </w:t>
      </w:r>
      <w:r w:rsidR="001A1465" w:rsidRPr="002A47B2">
        <w:t>immediately</w:t>
      </w:r>
      <w:r w:rsidR="001A1465">
        <w:t xml:space="preserve"> upon meeting all requirements for data quality</w:t>
      </w:r>
      <w:r w:rsidR="001B1E8E">
        <w:t>. In addition,</w:t>
      </w:r>
      <w:r w:rsidR="0005116C">
        <w:t xml:space="preserve"> </w:t>
      </w:r>
      <w:r w:rsidR="002A47B2">
        <w:t xml:space="preserve">participants </w:t>
      </w:r>
      <w:r w:rsidR="0005116C">
        <w:t xml:space="preserve">will </w:t>
      </w:r>
      <w:r w:rsidR="001B5FDE">
        <w:t xml:space="preserve">generally </w:t>
      </w:r>
      <w:r w:rsidR="0005116C">
        <w:t>have access to all data relevant to the project(s) in which they participat</w:t>
      </w:r>
      <w:r w:rsidR="00155548">
        <w:t>e</w:t>
      </w:r>
      <w:r w:rsidR="0005116C">
        <w:t xml:space="preserve">. </w:t>
      </w:r>
      <w:r w:rsidR="00530C3E">
        <w:t xml:space="preserve">Certain types of data, including </w:t>
      </w:r>
      <w:r w:rsidR="001B1E8E">
        <w:t>products</w:t>
      </w:r>
      <w:r w:rsidR="00530C3E">
        <w:t xml:space="preserve"> of experiments and </w:t>
      </w:r>
      <w:r w:rsidR="001B1E8E">
        <w:t xml:space="preserve">student thesis </w:t>
      </w:r>
      <w:r w:rsidR="00530C3E">
        <w:t xml:space="preserve">research, </w:t>
      </w:r>
      <w:r w:rsidR="001B1E8E">
        <w:t>can</w:t>
      </w:r>
      <w:r w:rsidR="00530C3E">
        <w:t xml:space="preserve"> be embargoed for a term </w:t>
      </w:r>
      <w:r w:rsidR="001B1E8E">
        <w:t xml:space="preserve">specified by mutual agreement </w:t>
      </w:r>
      <w:r w:rsidR="00530C3E">
        <w:t xml:space="preserve">before public release.  </w:t>
      </w:r>
    </w:p>
    <w:p w14:paraId="369E1399" w14:textId="6FBFA6C0" w:rsidR="008A4807" w:rsidRDefault="008A4807" w:rsidP="00D355B3">
      <w:pPr>
        <w:spacing w:line="240" w:lineRule="auto"/>
      </w:pPr>
    </w:p>
    <w:p w14:paraId="266CFF0D" w14:textId="33E63FA4" w:rsidR="008A4807" w:rsidRPr="00661691" w:rsidRDefault="008A5E6D" w:rsidP="00D355B3">
      <w:pPr>
        <w:spacing w:line="240" w:lineRule="auto"/>
        <w:rPr>
          <w:i/>
        </w:rPr>
      </w:pPr>
      <w:r>
        <w:t>Approximately</w:t>
      </w:r>
      <w:r w:rsidR="005670A1">
        <w:t xml:space="preserve"> </w:t>
      </w:r>
      <w:r w:rsidR="002A47B2">
        <w:t>t</w:t>
      </w:r>
      <w:r w:rsidR="008A4807">
        <w:t xml:space="preserve">wo years </w:t>
      </w:r>
      <w:r w:rsidR="006A1A25">
        <w:t>after the</w:t>
      </w:r>
      <w:r w:rsidR="008A4807">
        <w:t xml:space="preserve"> initial submission, MarineGEO </w:t>
      </w:r>
      <w:r w:rsidR="002A47B2">
        <w:t>intends to</w:t>
      </w:r>
      <w:r w:rsidR="008A4807">
        <w:t xml:space="preserve"> make </w:t>
      </w:r>
      <w:r w:rsidR="008A4807" w:rsidRPr="002A47B2">
        <w:t xml:space="preserve">all </w:t>
      </w:r>
      <w:r>
        <w:t xml:space="preserve">applicable </w:t>
      </w:r>
      <w:r w:rsidR="008A4807" w:rsidRPr="002A47B2">
        <w:t>data</w:t>
      </w:r>
      <w:r w:rsidR="008A4807">
        <w:t xml:space="preserve"> available on public repositories</w:t>
      </w:r>
      <w:r w:rsidR="003A1F76">
        <w:t xml:space="preserve">. Download and use of data will require acceptance of the license associated with that data type; </w:t>
      </w:r>
      <w:r w:rsidR="001B5FDE">
        <w:t xml:space="preserve">use of MarineGEO data always </w:t>
      </w:r>
      <w:r w:rsidR="003A1F76">
        <w:t>require</w:t>
      </w:r>
      <w:r w:rsidR="001B5FDE">
        <w:t>s</w:t>
      </w:r>
      <w:r w:rsidR="003A1F76">
        <w:t xml:space="preserve"> </w:t>
      </w:r>
      <w:r w:rsidR="002A47B2">
        <w:t xml:space="preserve">proper attribution </w:t>
      </w:r>
      <w:r w:rsidR="003A1F76">
        <w:t xml:space="preserve">and </w:t>
      </w:r>
      <w:r w:rsidR="001B5FDE">
        <w:t xml:space="preserve">generally may be used </w:t>
      </w:r>
      <w:r w:rsidR="003A1F76">
        <w:t xml:space="preserve">only for non-commercial purposes </w:t>
      </w:r>
      <w:r w:rsidR="002A47B2">
        <w:t>(see</w:t>
      </w:r>
      <w:r w:rsidR="003006BA">
        <w:t xml:space="preserve"> </w:t>
      </w:r>
      <w:r>
        <w:t xml:space="preserve">Table 1 and </w:t>
      </w:r>
      <w:r w:rsidR="003006BA" w:rsidRPr="00141DE7">
        <w:t>Data Attribution</w:t>
      </w:r>
      <w:r w:rsidR="003006BA">
        <w:t>)</w:t>
      </w:r>
      <w:r w:rsidR="008A4807">
        <w:t>.</w:t>
      </w:r>
    </w:p>
    <w:p w14:paraId="43325E7E" w14:textId="77777777" w:rsidR="00E8227D" w:rsidRDefault="00E8227D" w:rsidP="00E8227D">
      <w:pPr>
        <w:spacing w:line="240" w:lineRule="auto"/>
      </w:pPr>
    </w:p>
    <w:p w14:paraId="252214A5" w14:textId="59E96E84" w:rsidR="00E8227D" w:rsidRDefault="00E8227D" w:rsidP="00E8227D">
      <w:pPr>
        <w:spacing w:line="240" w:lineRule="auto"/>
      </w:pPr>
      <w:r>
        <w:t>Metadata associated with MarineGEO data will be made available to the public</w:t>
      </w:r>
      <w:r w:rsidR="003A1F76">
        <w:t>. Most types of data will also be made public at the appropriate time (see Table 1)</w:t>
      </w:r>
      <w:r>
        <w:t xml:space="preserve">, </w:t>
      </w:r>
      <w:proofErr w:type="gramStart"/>
      <w:r w:rsidR="003A1F76">
        <w:t xml:space="preserve">with the </w:t>
      </w:r>
      <w:r>
        <w:t>except</w:t>
      </w:r>
      <w:r w:rsidR="003A1F76">
        <w:t>ion of</w:t>
      </w:r>
      <w:proofErr w:type="gramEnd"/>
      <w:r>
        <w:t xml:space="preserve"> certain types of </w:t>
      </w:r>
      <w:r w:rsidR="001E0171">
        <w:t xml:space="preserve">data deemed by the Smithsonian to be </w:t>
      </w:r>
      <w:r>
        <w:t>sensitive</w:t>
      </w:r>
      <w:r w:rsidR="001E0171">
        <w:t>,</w:t>
      </w:r>
      <w:r>
        <w:t xml:space="preserve"> such as locations of vulnerable species or habitats, and Personally Identifiable Information (PII), including names, contact information, and images of people. </w:t>
      </w:r>
    </w:p>
    <w:p w14:paraId="7397C2D2" w14:textId="745C553A" w:rsidR="001A1465" w:rsidRDefault="001A1465" w:rsidP="00D355B3">
      <w:pPr>
        <w:spacing w:line="240" w:lineRule="auto"/>
      </w:pPr>
    </w:p>
    <w:p w14:paraId="153E8025" w14:textId="092CE6C7" w:rsidR="00661691" w:rsidRPr="00661691" w:rsidRDefault="00661691" w:rsidP="00D355B3">
      <w:pPr>
        <w:spacing w:line="240" w:lineRule="auto"/>
      </w:pPr>
      <w:r>
        <w:rPr>
          <w:b/>
        </w:rPr>
        <w:t>Data Sharing</w:t>
      </w:r>
    </w:p>
    <w:p w14:paraId="779FDA29" w14:textId="77777777" w:rsidR="00661691" w:rsidRDefault="00661691" w:rsidP="00D355B3">
      <w:pPr>
        <w:spacing w:line="240" w:lineRule="auto"/>
      </w:pPr>
    </w:p>
    <w:p w14:paraId="4FBB3F91" w14:textId="658FEAF1" w:rsidR="00224F77" w:rsidRDefault="00224F77" w:rsidP="00E92293">
      <w:pPr>
        <w:widowControl w:val="0"/>
        <w:tabs>
          <w:tab w:val="left" w:pos="1540"/>
          <w:tab w:val="left" w:pos="1541"/>
        </w:tabs>
        <w:autoSpaceDE w:val="0"/>
        <w:autoSpaceDN w:val="0"/>
        <w:spacing w:before="1" w:line="240" w:lineRule="auto"/>
        <w:ind w:right="129"/>
      </w:pPr>
      <w:r>
        <w:t>P</w:t>
      </w:r>
      <w:r w:rsidR="0005116C">
        <w:t xml:space="preserve">articipants </w:t>
      </w:r>
      <w:r w:rsidR="00AE23DE">
        <w:t xml:space="preserve">must </w:t>
      </w:r>
      <w:r>
        <w:t xml:space="preserve">contribute only </w:t>
      </w:r>
      <w:r w:rsidR="00AE23DE">
        <w:t xml:space="preserve">original </w:t>
      </w:r>
      <w:r>
        <w:t>data that they own or possess all rights in</w:t>
      </w:r>
      <w:r w:rsidR="001E0171">
        <w:t xml:space="preserve">, </w:t>
      </w:r>
      <w:r w:rsidR="005D47C3">
        <w:t>subject to</w:t>
      </w:r>
      <w:r w:rsidR="001E0171">
        <w:t xml:space="preserve"> the constraints of their host institutions,</w:t>
      </w:r>
      <w:r>
        <w:t xml:space="preserve"> </w:t>
      </w:r>
      <w:r w:rsidR="001E0171">
        <w:t>and</w:t>
      </w:r>
      <w:r>
        <w:t xml:space="preserve"> are necessary to contribute for MarineGEO purposes. Contributing participants retain </w:t>
      </w:r>
      <w:r w:rsidR="005D47C3">
        <w:t>personal or institutional</w:t>
      </w:r>
      <w:r>
        <w:t xml:space="preserve"> rights </w:t>
      </w:r>
      <w:r w:rsidR="005D47C3">
        <w:t xml:space="preserve">to </w:t>
      </w:r>
      <w:r>
        <w:t xml:space="preserve">their data, subject to </w:t>
      </w:r>
      <w:proofErr w:type="spellStart"/>
      <w:r>
        <w:t>MarineGEO’s</w:t>
      </w:r>
      <w:proofErr w:type="spellEnd"/>
      <w:r>
        <w:t xml:space="preserve"> right to use the</w:t>
      </w:r>
      <w:r w:rsidR="00EF18CF">
        <w:t>m</w:t>
      </w:r>
      <w:r>
        <w:t xml:space="preserve"> as described</w:t>
      </w:r>
      <w:r w:rsidRPr="00224F77">
        <w:rPr>
          <w:spacing w:val="-11"/>
        </w:rPr>
        <w:t xml:space="preserve"> </w:t>
      </w:r>
      <w:r>
        <w:t>herein.</w:t>
      </w:r>
    </w:p>
    <w:p w14:paraId="42D0C8E6" w14:textId="7419E1CC" w:rsidR="00EC2185" w:rsidRDefault="00EC2185" w:rsidP="00D355B3">
      <w:pPr>
        <w:spacing w:line="240" w:lineRule="auto"/>
      </w:pPr>
    </w:p>
    <w:p w14:paraId="74DF261B" w14:textId="2F108B53" w:rsidR="0005116C" w:rsidRDefault="0005116C" w:rsidP="00D355B3">
      <w:pPr>
        <w:spacing w:line="240" w:lineRule="auto"/>
      </w:pPr>
      <w:r>
        <w:lastRenderedPageBreak/>
        <w:t>MarineGEO</w:t>
      </w:r>
      <w:r w:rsidR="00F40138">
        <w:t xml:space="preserve"> may </w:t>
      </w:r>
      <w:r w:rsidR="00DC4618">
        <w:t xml:space="preserve">analyze, synthesize, and share data as needed to </w:t>
      </w:r>
      <w:r w:rsidR="00813566">
        <w:t xml:space="preserve">advance </w:t>
      </w:r>
      <w:r w:rsidR="00DC4618">
        <w:t xml:space="preserve">the MarineGEO </w:t>
      </w:r>
      <w:r w:rsidR="00813566">
        <w:t xml:space="preserve">community’s collective goals, provided </w:t>
      </w:r>
      <w:r w:rsidR="00F40138">
        <w:t xml:space="preserve">this </w:t>
      </w:r>
      <w:r w:rsidR="00813566">
        <w:t>does not conflict with other guidelines described here</w:t>
      </w:r>
      <w:r w:rsidR="008A4807">
        <w:t xml:space="preserve">. </w:t>
      </w:r>
      <w:r w:rsidR="00224F77">
        <w:t>The MarineG</w:t>
      </w:r>
      <w:r w:rsidR="002E14E6">
        <w:t>EO</w:t>
      </w:r>
      <w:r w:rsidR="00224F77">
        <w:t xml:space="preserve"> Central </w:t>
      </w:r>
      <w:r w:rsidR="002E14E6">
        <w:t>t</w:t>
      </w:r>
      <w:r w:rsidR="00224F77">
        <w:t xml:space="preserve">eam </w:t>
      </w:r>
      <w:r w:rsidR="00813566">
        <w:t>may share</w:t>
      </w:r>
      <w:r w:rsidR="00224F77">
        <w:t xml:space="preserve"> data</w:t>
      </w:r>
      <w:r w:rsidR="00813566">
        <w:t xml:space="preserve"> with </w:t>
      </w:r>
      <w:r w:rsidR="008A4807">
        <w:t xml:space="preserve">parties </w:t>
      </w:r>
      <w:r w:rsidR="00224F77">
        <w:t xml:space="preserve">outside of the network </w:t>
      </w:r>
      <w:r w:rsidR="00813566">
        <w:t xml:space="preserve">prior to public release </w:t>
      </w:r>
      <w:r w:rsidR="008A4807">
        <w:t>to assist in data curation, analysis, and/or synthesis as needed</w:t>
      </w:r>
      <w:r w:rsidR="0065035A">
        <w:t xml:space="preserve"> to ensure quality and accessibility</w:t>
      </w:r>
      <w:r w:rsidR="008A4807">
        <w:t xml:space="preserve"> at </w:t>
      </w:r>
      <w:r w:rsidR="00224F77">
        <w:t xml:space="preserve">its </w:t>
      </w:r>
      <w:r w:rsidR="008A4807">
        <w:t>discretion</w:t>
      </w:r>
      <w:r w:rsidR="00230370">
        <w:t>.</w:t>
      </w:r>
    </w:p>
    <w:p w14:paraId="127B64F9" w14:textId="22DD4F78" w:rsidR="0005116C" w:rsidRDefault="0005116C" w:rsidP="00D355B3">
      <w:pPr>
        <w:spacing w:line="240" w:lineRule="auto"/>
      </w:pPr>
    </w:p>
    <w:p w14:paraId="3A65A67D" w14:textId="78931DAD" w:rsidR="0005116C" w:rsidRDefault="00224F77" w:rsidP="00D355B3">
      <w:pPr>
        <w:spacing w:line="240" w:lineRule="auto"/>
      </w:pPr>
      <w:r>
        <w:t>Any other s</w:t>
      </w:r>
      <w:r w:rsidR="008A4807">
        <w:t xml:space="preserve">haring </w:t>
      </w:r>
      <w:r>
        <w:t xml:space="preserve">of </w:t>
      </w:r>
      <w:r w:rsidR="008A4807">
        <w:t xml:space="preserve">data </w:t>
      </w:r>
      <w:r w:rsidR="00EC2185">
        <w:t>collected by another MarineGEO part</w:t>
      </w:r>
      <w:r>
        <w:t>icipant</w:t>
      </w:r>
      <w:r w:rsidR="00EC2185">
        <w:t xml:space="preserve"> </w:t>
      </w:r>
      <w:r w:rsidR="008A4807">
        <w:t xml:space="preserve">with </w:t>
      </w:r>
      <w:r w:rsidR="00813566">
        <w:t xml:space="preserve">parties outside the network </w:t>
      </w:r>
      <w:r w:rsidR="00E16804">
        <w:t xml:space="preserve">prior </w:t>
      </w:r>
      <w:r w:rsidR="00473D4C">
        <w:t>to</w:t>
      </w:r>
      <w:r w:rsidR="00E16804">
        <w:t xml:space="preserve"> public release </w:t>
      </w:r>
      <w:r w:rsidR="008A4807">
        <w:t xml:space="preserve">requires the prior </w:t>
      </w:r>
      <w:r w:rsidR="00590AF5">
        <w:t xml:space="preserve">written </w:t>
      </w:r>
      <w:r w:rsidR="008A4807">
        <w:t>approval of the contributing participant</w:t>
      </w:r>
      <w:r w:rsidR="008E4A42">
        <w:t xml:space="preserve">(s) who </w:t>
      </w:r>
      <w:r w:rsidR="00CE0584">
        <w:t>generated</w:t>
      </w:r>
      <w:r w:rsidR="0045081C">
        <w:t xml:space="preserve"> </w:t>
      </w:r>
      <w:r w:rsidR="008E4A42">
        <w:t>the data</w:t>
      </w:r>
      <w:r w:rsidR="003006BA">
        <w:t xml:space="preserve"> and </w:t>
      </w:r>
      <w:r w:rsidR="00230370">
        <w:t>the</w:t>
      </w:r>
      <w:r w:rsidR="00E16804">
        <w:t xml:space="preserve"> </w:t>
      </w:r>
      <w:r w:rsidR="003006BA">
        <w:t>MarineGEO</w:t>
      </w:r>
      <w:r w:rsidR="00230370">
        <w:t xml:space="preserve"> Central </w:t>
      </w:r>
      <w:r w:rsidR="008C4AA6">
        <w:t>t</w:t>
      </w:r>
      <w:r w:rsidR="00230370">
        <w:t>eam.</w:t>
      </w:r>
    </w:p>
    <w:p w14:paraId="2954734D" w14:textId="77777777" w:rsidR="008A4807" w:rsidRDefault="008A4807" w:rsidP="00D355B3">
      <w:pPr>
        <w:spacing w:line="240" w:lineRule="auto"/>
      </w:pPr>
    </w:p>
    <w:p w14:paraId="0C13CEF5" w14:textId="74A6B8D8" w:rsidR="008A4807" w:rsidRDefault="008A4807" w:rsidP="00D355B3">
      <w:pPr>
        <w:spacing w:line="240" w:lineRule="auto"/>
      </w:pPr>
      <w:r>
        <w:rPr>
          <w:b/>
        </w:rPr>
        <w:t>Data Use</w:t>
      </w:r>
    </w:p>
    <w:p w14:paraId="3B0E2656" w14:textId="1981C057" w:rsidR="008A4807" w:rsidRDefault="008A4807" w:rsidP="00D355B3">
      <w:pPr>
        <w:spacing w:line="240" w:lineRule="auto"/>
      </w:pPr>
    </w:p>
    <w:p w14:paraId="31F63EDA" w14:textId="3CDB7B81" w:rsidR="00EC2185" w:rsidRDefault="002B348F" w:rsidP="00D355B3">
      <w:pPr>
        <w:spacing w:line="240" w:lineRule="auto"/>
      </w:pPr>
      <w:r>
        <w:t xml:space="preserve">Contributing participants are free to use </w:t>
      </w:r>
      <w:r w:rsidR="00CE0584">
        <w:t xml:space="preserve">any </w:t>
      </w:r>
      <w:r w:rsidR="00EF6B83">
        <w:t xml:space="preserve">MarineGEO </w:t>
      </w:r>
      <w:r w:rsidR="00590AF5">
        <w:t>data to which they have access for scientific purposes (e.g., manuscripts, dissertations, theses)</w:t>
      </w:r>
      <w:r w:rsidR="00EC2185">
        <w:t xml:space="preserve"> </w:t>
      </w:r>
      <w:r w:rsidR="00B201C3">
        <w:t xml:space="preserve">within the guidelines described in this document, </w:t>
      </w:r>
      <w:r w:rsidR="00EC2185">
        <w:t xml:space="preserve">unless expressly restricted by </w:t>
      </w:r>
      <w:r w:rsidR="00EF18CF">
        <w:t xml:space="preserve">prior </w:t>
      </w:r>
      <w:r w:rsidR="00EC2185">
        <w:t xml:space="preserve">agreement </w:t>
      </w:r>
      <w:r w:rsidR="00EF18CF">
        <w:t xml:space="preserve">with MarineGEO Central </w:t>
      </w:r>
      <w:r w:rsidR="00EC2185">
        <w:t>use</w:t>
      </w:r>
      <w:r w:rsidR="00590AF5">
        <w:t xml:space="preserve">. </w:t>
      </w:r>
    </w:p>
    <w:p w14:paraId="0D4CB388" w14:textId="77777777" w:rsidR="00EC2185" w:rsidRDefault="00EC2185" w:rsidP="00D355B3">
      <w:pPr>
        <w:spacing w:line="240" w:lineRule="auto"/>
      </w:pPr>
    </w:p>
    <w:p w14:paraId="266FE2C2" w14:textId="5652FE45" w:rsidR="00EC2185" w:rsidRDefault="00B201C3" w:rsidP="00D355B3">
      <w:pPr>
        <w:spacing w:line="240" w:lineRule="auto"/>
      </w:pPr>
      <w:r>
        <w:t>W</w:t>
      </w:r>
      <w:r w:rsidR="00EC2185">
        <w:t xml:space="preserve">here data are collected for a particular use (e.g., a collaborative </w:t>
      </w:r>
      <w:r w:rsidR="00230306">
        <w:t>MarineGEO</w:t>
      </w:r>
      <w:r>
        <w:t xml:space="preserve"> </w:t>
      </w:r>
      <w:r w:rsidR="00EC2185">
        <w:t xml:space="preserve">project), </w:t>
      </w:r>
      <w:r>
        <w:t xml:space="preserve">those data may not be shared outside the network or </w:t>
      </w:r>
      <w:r w:rsidR="00EC2185">
        <w:t>publish</w:t>
      </w:r>
      <w:r>
        <w:t>ed</w:t>
      </w:r>
      <w:r w:rsidR="00EC2185">
        <w:t xml:space="preserve"> until the collaborative project is concluded</w:t>
      </w:r>
      <w:r>
        <w:t xml:space="preserve">, unless </w:t>
      </w:r>
      <w:r w:rsidR="00230306">
        <w:t>the project participants and MarineGEO Central</w:t>
      </w:r>
      <w:r w:rsidR="00F4545B">
        <w:t xml:space="preserve"> Team</w:t>
      </w:r>
      <w:r w:rsidR="00230306">
        <w:t xml:space="preserve"> grant </w:t>
      </w:r>
      <w:r>
        <w:t>prior approval</w:t>
      </w:r>
      <w:r w:rsidR="00C07479">
        <w:t xml:space="preserve">. </w:t>
      </w:r>
    </w:p>
    <w:p w14:paraId="7BFEA4CE" w14:textId="77777777" w:rsidR="00EC2185" w:rsidRDefault="00EC2185" w:rsidP="00D355B3">
      <w:pPr>
        <w:spacing w:line="240" w:lineRule="auto"/>
      </w:pPr>
    </w:p>
    <w:p w14:paraId="21BC8D31" w14:textId="1C133E18" w:rsidR="002B348F" w:rsidRDefault="001E0171" w:rsidP="00D355B3">
      <w:pPr>
        <w:spacing w:line="240" w:lineRule="auto"/>
      </w:pPr>
      <w:r>
        <w:t xml:space="preserve">MarineGEO </w:t>
      </w:r>
      <w:r w:rsidR="00590AF5">
        <w:t xml:space="preserve">Data </w:t>
      </w:r>
      <w:r>
        <w:t xml:space="preserve">collected by other partners outside a given site or institution </w:t>
      </w:r>
      <w:r w:rsidR="00590AF5">
        <w:t xml:space="preserve">may not be used for grant or contract </w:t>
      </w:r>
      <w:r w:rsidR="003006BA">
        <w:t>proposals</w:t>
      </w:r>
      <w:r w:rsidR="00B201C3">
        <w:t>,</w:t>
      </w:r>
      <w:r w:rsidR="003006BA">
        <w:t xml:space="preserve"> or </w:t>
      </w:r>
      <w:r w:rsidR="00B201C3">
        <w:t xml:space="preserve">for </w:t>
      </w:r>
      <w:r w:rsidR="003006BA">
        <w:t>commercial or for-profit</w:t>
      </w:r>
      <w:r w:rsidR="00590AF5">
        <w:t xml:space="preserve"> applications</w:t>
      </w:r>
      <w:r w:rsidR="00B201C3">
        <w:t>,</w:t>
      </w:r>
      <w:r w:rsidR="00590AF5">
        <w:t xml:space="preserve"> without the prior written approval of MarineGEO</w:t>
      </w:r>
      <w:r w:rsidR="00224F77">
        <w:t xml:space="preserve"> Central</w:t>
      </w:r>
      <w:r>
        <w:t xml:space="preserve"> and the party that collected the data.</w:t>
      </w:r>
      <w:r w:rsidR="00224F77">
        <w:t xml:space="preserve"> </w:t>
      </w:r>
    </w:p>
    <w:p w14:paraId="478DC15A" w14:textId="1CED5405" w:rsidR="003006BA" w:rsidRDefault="003006BA" w:rsidP="00D355B3">
      <w:pPr>
        <w:spacing w:line="240" w:lineRule="auto"/>
      </w:pPr>
    </w:p>
    <w:p w14:paraId="7642B4DD" w14:textId="76050DB6" w:rsidR="003006BA" w:rsidRDefault="003006BA" w:rsidP="003006BA">
      <w:pPr>
        <w:spacing w:line="240" w:lineRule="auto"/>
      </w:pPr>
      <w:r>
        <w:rPr>
          <w:b/>
        </w:rPr>
        <w:t>Data Attribution</w:t>
      </w:r>
      <w:r w:rsidR="00CF3964">
        <w:rPr>
          <w:b/>
        </w:rPr>
        <w:t xml:space="preserve"> and Publication</w:t>
      </w:r>
    </w:p>
    <w:p w14:paraId="5DC4E390" w14:textId="6D5CA82A" w:rsidR="003006BA" w:rsidRDefault="003006BA" w:rsidP="00D355B3">
      <w:pPr>
        <w:spacing w:line="240" w:lineRule="auto"/>
      </w:pPr>
    </w:p>
    <w:p w14:paraId="16AC55A3" w14:textId="6A700BFD" w:rsidR="003006BA" w:rsidRDefault="003006BA" w:rsidP="00D355B3">
      <w:pPr>
        <w:spacing w:line="240" w:lineRule="auto"/>
      </w:pPr>
      <w:r>
        <w:t>All products developed using data collected for and/or provided by MarineGEO must provide proper attribution in the form of a written acknowledgment citing MarineGEO and any contributing part</w:t>
      </w:r>
      <w:r w:rsidR="007D42A7">
        <w:t>icipant</w:t>
      </w:r>
      <w:r w:rsidR="001C6964">
        <w:t xml:space="preserve"> and their organizations</w:t>
      </w:r>
      <w:r>
        <w:t xml:space="preserve"> as the source of the data</w:t>
      </w:r>
      <w:r w:rsidR="00B201C3">
        <w:t>. Where available, these products must</w:t>
      </w:r>
      <w:r>
        <w:t xml:space="preserve"> </w:t>
      </w:r>
      <w:r w:rsidR="00B201C3">
        <w:t xml:space="preserve">also </w:t>
      </w:r>
      <w:r>
        <w:t>cit</w:t>
      </w:r>
      <w:r w:rsidR="00B201C3">
        <w:t>e</w:t>
      </w:r>
      <w:r>
        <w:t xml:space="preserve"> </w:t>
      </w:r>
      <w:r w:rsidR="00B201C3">
        <w:t xml:space="preserve">the data set’s </w:t>
      </w:r>
      <w:r>
        <w:t>Digital Object Identifier (DOI).</w:t>
      </w:r>
    </w:p>
    <w:p w14:paraId="36AEDF3E" w14:textId="45ACD932" w:rsidR="003006BA" w:rsidRDefault="003006BA" w:rsidP="00D355B3">
      <w:pPr>
        <w:spacing w:line="240" w:lineRule="auto"/>
      </w:pPr>
    </w:p>
    <w:p w14:paraId="13153061" w14:textId="49E5AFEF" w:rsidR="003006BA" w:rsidRDefault="00EC2185" w:rsidP="00D355B3">
      <w:pPr>
        <w:spacing w:line="240" w:lineRule="auto"/>
      </w:pPr>
      <w:r>
        <w:t xml:space="preserve">Authors </w:t>
      </w:r>
      <w:r w:rsidR="001C15A4">
        <w:t xml:space="preserve">of peer-reviewed publications and other products using MarineGEO data </w:t>
      </w:r>
      <w:r>
        <w:t xml:space="preserve">must request and register a MarineGEO contribution number </w:t>
      </w:r>
      <w:r w:rsidR="001C15A4">
        <w:t>prio</w:t>
      </w:r>
      <w:r w:rsidR="00CF3964">
        <w:t>r</w:t>
      </w:r>
      <w:r w:rsidR="001C15A4">
        <w:t xml:space="preserve"> to publication and cite it in the acknowledgements of the publication</w:t>
      </w:r>
      <w:r>
        <w:t xml:space="preserve"> </w:t>
      </w:r>
      <w:r w:rsidR="001C15A4">
        <w:t>(</w:t>
      </w:r>
      <w:r>
        <w:t>see</w:t>
      </w:r>
      <w:r w:rsidR="003006BA">
        <w:t xml:space="preserve">: </w:t>
      </w:r>
      <w:hyperlink r:id="rId8" w:history="1">
        <w:r w:rsidR="003006BA" w:rsidRPr="00B00F6E">
          <w:rPr>
            <w:rStyle w:val="Hyperlink"/>
          </w:rPr>
          <w:t>https://marinegeo.si.edu/publication-request-form</w:t>
        </w:r>
      </w:hyperlink>
      <w:r w:rsidR="001C15A4" w:rsidRPr="00B00F6E">
        <w:rPr>
          <w:rStyle w:val="Hyperlink"/>
        </w:rPr>
        <w:t>)</w:t>
      </w:r>
      <w:r w:rsidR="003006BA">
        <w:t xml:space="preserve">. </w:t>
      </w:r>
    </w:p>
    <w:p w14:paraId="48423319" w14:textId="16263200" w:rsidR="008E6799" w:rsidRDefault="008E6799" w:rsidP="00D355B3">
      <w:pPr>
        <w:spacing w:line="240" w:lineRule="auto"/>
      </w:pPr>
    </w:p>
    <w:p w14:paraId="25407ACE" w14:textId="24A16528" w:rsidR="008E6799" w:rsidRDefault="008E6799" w:rsidP="00D355B3">
      <w:pPr>
        <w:spacing w:line="240" w:lineRule="auto"/>
      </w:pPr>
      <w:r>
        <w:rPr>
          <w:b/>
        </w:rPr>
        <w:t>Data Updates</w:t>
      </w:r>
    </w:p>
    <w:p w14:paraId="5EB26E65" w14:textId="3462558A" w:rsidR="008E6799" w:rsidRDefault="008E6799" w:rsidP="00D355B3">
      <w:pPr>
        <w:spacing w:line="240" w:lineRule="auto"/>
      </w:pPr>
    </w:p>
    <w:p w14:paraId="3B786B4C" w14:textId="43CE03FF" w:rsidR="008E6799" w:rsidRPr="003006BA" w:rsidRDefault="008E6799" w:rsidP="00D355B3">
      <w:pPr>
        <w:spacing w:line="240" w:lineRule="auto"/>
      </w:pPr>
      <w:r>
        <w:t>Data</w:t>
      </w:r>
      <w:r w:rsidR="0044688B">
        <w:t xml:space="preserve"> may </w:t>
      </w:r>
      <w:r>
        <w:t xml:space="preserve">be updated periodically to fix errors, update nomenclature, and adhere to current standards. </w:t>
      </w:r>
      <w:r w:rsidR="00EC2185">
        <w:t xml:space="preserve">MarineGEO will strive to make the </w:t>
      </w:r>
      <w:r w:rsidR="004B2B3D">
        <w:t xml:space="preserve">identity of the </w:t>
      </w:r>
      <w:r w:rsidR="00EC2185">
        <w:t>latest version and the history of all data sets clear</w:t>
      </w:r>
      <w:r w:rsidR="0044688B">
        <w:t>.</w:t>
      </w:r>
      <w:r w:rsidR="00EC2185">
        <w:t xml:space="preserve"> </w:t>
      </w:r>
      <w:r w:rsidR="0044688B">
        <w:t>I</w:t>
      </w:r>
      <w:r>
        <w:t>t is the user</w:t>
      </w:r>
      <w:r w:rsidR="0044688B">
        <w:t>’s responsibility</w:t>
      </w:r>
      <w:r>
        <w:t xml:space="preserve"> to ensure that they are working with the </w:t>
      </w:r>
      <w:r w:rsidR="00EC2185">
        <w:t xml:space="preserve">most </w:t>
      </w:r>
      <w:r w:rsidR="0044688B">
        <w:t xml:space="preserve">current </w:t>
      </w:r>
      <w:r>
        <w:t>version</w:t>
      </w:r>
      <w:r w:rsidR="00A25D91">
        <w:t>s of standards and protocols</w:t>
      </w:r>
      <w:r>
        <w:t>.</w:t>
      </w:r>
      <w:r w:rsidR="00A25D91">
        <w:t xml:space="preserve"> When in doubt contact </w:t>
      </w:r>
      <w:hyperlink r:id="rId9" w:history="1">
        <w:r w:rsidR="00A25D91" w:rsidRPr="00240136">
          <w:rPr>
            <w:rStyle w:val="Hyperlink"/>
          </w:rPr>
          <w:t>marinegeo@si.edu</w:t>
        </w:r>
      </w:hyperlink>
      <w:r w:rsidR="00A25D91">
        <w:t>.</w:t>
      </w:r>
    </w:p>
    <w:p w14:paraId="47565D0D" w14:textId="5C333E26" w:rsidR="00590AF5" w:rsidRDefault="00590AF5" w:rsidP="00D355B3">
      <w:pPr>
        <w:spacing w:line="240" w:lineRule="auto"/>
      </w:pPr>
    </w:p>
    <w:p w14:paraId="5C0576DB" w14:textId="6E00D7C9" w:rsidR="00590AF5" w:rsidRDefault="00590AF5" w:rsidP="00D355B3">
      <w:pPr>
        <w:spacing w:line="240" w:lineRule="auto"/>
        <w:rPr>
          <w:b/>
        </w:rPr>
      </w:pPr>
      <w:r>
        <w:rPr>
          <w:b/>
        </w:rPr>
        <w:t>Data Liability</w:t>
      </w:r>
    </w:p>
    <w:p w14:paraId="31632FE2" w14:textId="37C6B6F9" w:rsidR="00590AF5" w:rsidRDefault="00590AF5" w:rsidP="00D355B3">
      <w:pPr>
        <w:spacing w:line="240" w:lineRule="auto"/>
        <w:rPr>
          <w:b/>
        </w:rPr>
      </w:pPr>
    </w:p>
    <w:p w14:paraId="6E2E6FF4" w14:textId="6D28E089" w:rsidR="002B348F" w:rsidRDefault="003006BA" w:rsidP="00D355B3">
      <w:pPr>
        <w:spacing w:line="240" w:lineRule="auto"/>
      </w:pPr>
      <w:r>
        <w:t xml:space="preserve">All data </w:t>
      </w:r>
      <w:r w:rsidR="001E7F81">
        <w:t xml:space="preserve">provided </w:t>
      </w:r>
      <w:r w:rsidR="00EC2185">
        <w:t xml:space="preserve">by MarineGEO </w:t>
      </w:r>
      <w:r>
        <w:t>are made available “</w:t>
      </w:r>
      <w:r w:rsidR="004E1004">
        <w:t>as is.”</w:t>
      </w:r>
      <w:r>
        <w:t xml:space="preserve"> It is the sole responsibility of the user to ensure that the data are being used and interpreted properly</w:t>
      </w:r>
      <w:r w:rsidR="00EC2185">
        <w:t xml:space="preserve">, and that they adhere to the terms of </w:t>
      </w:r>
      <w:r w:rsidR="00EC2185">
        <w:lastRenderedPageBreak/>
        <w:t>th</w:t>
      </w:r>
      <w:r w:rsidR="001E7F81">
        <w:t>is</w:t>
      </w:r>
      <w:r w:rsidR="00EC2185">
        <w:t xml:space="preserve"> agreement</w:t>
      </w:r>
      <w:r>
        <w:t xml:space="preserve">. </w:t>
      </w:r>
      <w:r w:rsidR="001E7F81">
        <w:t>Neither t</w:t>
      </w:r>
      <w:r>
        <w:t xml:space="preserve">he contributing participant(s) </w:t>
      </w:r>
      <w:r w:rsidR="001E7F81">
        <w:t xml:space="preserve">nor the </w:t>
      </w:r>
      <w:r w:rsidR="003F092A">
        <w:t>Smithsonian Institution</w:t>
      </w:r>
      <w:r>
        <w:t xml:space="preserve"> are liable for any damages resulting from any use or</w:t>
      </w:r>
      <w:r w:rsidR="001E7F81">
        <w:t xml:space="preserve"> </w:t>
      </w:r>
      <w:r>
        <w:t>interpretation of the data.</w:t>
      </w:r>
    </w:p>
    <w:p w14:paraId="53E515B7" w14:textId="1E487655" w:rsidR="003006BA" w:rsidRDefault="003006BA" w:rsidP="00D355B3">
      <w:pPr>
        <w:spacing w:line="240" w:lineRule="auto"/>
      </w:pPr>
    </w:p>
    <w:p w14:paraId="41368415" w14:textId="191C29D2" w:rsidR="002B348F" w:rsidRPr="008A4807" w:rsidRDefault="002B348F" w:rsidP="00D355B3">
      <w:pPr>
        <w:spacing w:line="240" w:lineRule="auto"/>
      </w:pPr>
      <w:r>
        <w:rPr>
          <w:b/>
        </w:rPr>
        <w:t>Authorship</w:t>
      </w:r>
    </w:p>
    <w:p w14:paraId="30F5B7DF" w14:textId="77777777" w:rsidR="008A4807" w:rsidRPr="008A4807" w:rsidRDefault="008A4807" w:rsidP="00D355B3">
      <w:pPr>
        <w:spacing w:line="240" w:lineRule="auto"/>
      </w:pPr>
    </w:p>
    <w:p w14:paraId="68072FFC" w14:textId="1357CC67" w:rsidR="0064721C" w:rsidRDefault="0025522E" w:rsidP="00D355B3">
      <w:pPr>
        <w:spacing w:line="240" w:lineRule="auto"/>
      </w:pPr>
      <w:r>
        <w:t xml:space="preserve">The opportunity for </w:t>
      </w:r>
      <w:r w:rsidR="00EC2185">
        <w:t xml:space="preserve">co-authorship </w:t>
      </w:r>
      <w:r w:rsidR="001E7F81">
        <w:t xml:space="preserve">on publications and products resulting from MarineGEO activities </w:t>
      </w:r>
      <w:r>
        <w:t xml:space="preserve">will be extended to </w:t>
      </w:r>
      <w:r w:rsidR="00EC2185">
        <w:t>contributing participants</w:t>
      </w:r>
      <w:r>
        <w:t xml:space="preserve"> according to typical norms of scientific societies and journals.</w:t>
      </w:r>
      <w:r w:rsidR="00EC2185">
        <w:t xml:space="preserve"> </w:t>
      </w:r>
      <w:r>
        <w:t xml:space="preserve">Generally, </w:t>
      </w:r>
      <w:r w:rsidR="004E6414">
        <w:t>co-authors</w:t>
      </w:r>
      <w:r>
        <w:t xml:space="preserve"> </w:t>
      </w:r>
      <w:r w:rsidR="004E6414">
        <w:t>shall</w:t>
      </w:r>
      <w:r>
        <w:t xml:space="preserve"> </w:t>
      </w:r>
      <w:r w:rsidR="00EC2185">
        <w:t>meet</w:t>
      </w:r>
      <w:r w:rsidR="00C15D3F">
        <w:t xml:space="preserve"> both of</w:t>
      </w:r>
      <w:r w:rsidR="00EC2185">
        <w:t xml:space="preserve"> the following qualifications:</w:t>
      </w:r>
    </w:p>
    <w:p w14:paraId="3A8890D8" w14:textId="1D8C4CBB" w:rsidR="00EC2185" w:rsidRDefault="00EC2185" w:rsidP="00D355B3">
      <w:pPr>
        <w:spacing w:line="240" w:lineRule="auto"/>
      </w:pPr>
    </w:p>
    <w:p w14:paraId="2A686FF0" w14:textId="2DE6BB37" w:rsidR="00EC2185" w:rsidRDefault="00EC2185" w:rsidP="00EC2185">
      <w:pPr>
        <w:pStyle w:val="ListParagraph"/>
        <w:numPr>
          <w:ilvl w:val="0"/>
          <w:numId w:val="36"/>
        </w:numPr>
        <w:spacing w:line="240" w:lineRule="auto"/>
      </w:pPr>
      <w:r>
        <w:t>Submit quality data that is used in the publication; and</w:t>
      </w:r>
    </w:p>
    <w:p w14:paraId="301993E0" w14:textId="68DE1395" w:rsidR="00EC2185" w:rsidRDefault="00EC2185" w:rsidP="00EC2185">
      <w:pPr>
        <w:pStyle w:val="ListParagraph"/>
        <w:numPr>
          <w:ilvl w:val="0"/>
          <w:numId w:val="36"/>
        </w:numPr>
        <w:spacing w:line="240" w:lineRule="auto"/>
      </w:pPr>
      <w:r>
        <w:t xml:space="preserve">Provide </w:t>
      </w:r>
      <w:r w:rsidR="0025522E">
        <w:t>substanti</w:t>
      </w:r>
      <w:r w:rsidR="00AD75EE">
        <w:t>ve</w:t>
      </w:r>
      <w:r w:rsidR="0025522E">
        <w:t xml:space="preserve"> </w:t>
      </w:r>
      <w:r w:rsidR="00B95BA9">
        <w:t xml:space="preserve">input </w:t>
      </w:r>
      <w:r w:rsidR="0025522E">
        <w:t xml:space="preserve">to lead author(s) during preparation </w:t>
      </w:r>
      <w:r>
        <w:t>of the manuscript.</w:t>
      </w:r>
    </w:p>
    <w:p w14:paraId="592A7388" w14:textId="03BBA017" w:rsidR="00661691" w:rsidRDefault="00661691" w:rsidP="00D355B3">
      <w:pPr>
        <w:spacing w:line="240" w:lineRule="auto"/>
      </w:pPr>
    </w:p>
    <w:p w14:paraId="2421A2CD" w14:textId="6E4E6BEE" w:rsidR="00C15D3F" w:rsidRDefault="00EC2185" w:rsidP="00D355B3">
      <w:pPr>
        <w:spacing w:line="240" w:lineRule="auto"/>
      </w:pPr>
      <w:r>
        <w:t xml:space="preserve">Contributing participants who provide additional services, </w:t>
      </w:r>
      <w:r w:rsidR="00C15D3F">
        <w:t>such as submitting a</w:t>
      </w:r>
      <w:r>
        <w:t xml:space="preserve"> relatively large amount of data, </w:t>
      </w:r>
      <w:r w:rsidR="001E7F81">
        <w:t xml:space="preserve">conducting key </w:t>
      </w:r>
      <w:r>
        <w:t xml:space="preserve">analyses, and/or </w:t>
      </w:r>
      <w:r w:rsidR="00C15D3F">
        <w:t xml:space="preserve">contributing </w:t>
      </w:r>
      <w:r w:rsidR="001E7F81">
        <w:t xml:space="preserve">disproportionately </w:t>
      </w:r>
      <w:r w:rsidR="00C15D3F">
        <w:t>to writing and manuscript preparation</w:t>
      </w:r>
      <w:r w:rsidR="001E7F81">
        <w:t>,</w:t>
      </w:r>
      <w:r w:rsidR="00C15D3F">
        <w:t xml:space="preserve"> </w:t>
      </w:r>
      <w:r w:rsidR="001E7F81">
        <w:t xml:space="preserve">may </w:t>
      </w:r>
      <w:r w:rsidR="00C15D3F">
        <w:t xml:space="preserve">be recognized with priority ordering in the author list. Otherwise, co-authors </w:t>
      </w:r>
      <w:r w:rsidR="00AD75EE">
        <w:t xml:space="preserve">generally </w:t>
      </w:r>
      <w:r w:rsidR="004E6414">
        <w:t xml:space="preserve">should </w:t>
      </w:r>
      <w:r w:rsidR="00C15D3F">
        <w:t>be listed alphabetically.</w:t>
      </w:r>
    </w:p>
    <w:p w14:paraId="606AC618" w14:textId="4F6D34CD" w:rsidR="00C15D3F" w:rsidRDefault="00C15D3F" w:rsidP="00D355B3">
      <w:pPr>
        <w:spacing w:line="240" w:lineRule="auto"/>
      </w:pPr>
    </w:p>
    <w:p w14:paraId="760C7A63" w14:textId="0B77C54C" w:rsidR="00C15D3F" w:rsidRDefault="003D303D" w:rsidP="00D355B3">
      <w:pPr>
        <w:spacing w:line="240" w:lineRule="auto"/>
      </w:pPr>
      <w:r>
        <w:t xml:space="preserve">It is the joint responsibility of the lead author of a manuscript and the Principal Investigator of each </w:t>
      </w:r>
      <w:r w:rsidR="004E6414">
        <w:t xml:space="preserve">contributing </w:t>
      </w:r>
      <w:r>
        <w:t xml:space="preserve">group to ensure all individuals who meet </w:t>
      </w:r>
      <w:r w:rsidR="004E6414">
        <w:t>criterion #1</w:t>
      </w:r>
      <w:r>
        <w:t xml:space="preserve"> are identified early in manuscript preparation and </w:t>
      </w:r>
      <w:r w:rsidR="00837005">
        <w:t xml:space="preserve">offered the opportunity </w:t>
      </w:r>
      <w:r w:rsidR="004E6414">
        <w:t xml:space="preserve">to meet criterion #2 </w:t>
      </w:r>
      <w:r w:rsidR="00837005">
        <w:t xml:space="preserve">for </w:t>
      </w:r>
      <w:r w:rsidR="00C15D3F">
        <w:t>co-authors</w:t>
      </w:r>
      <w:r w:rsidR="00837005">
        <w:t>hip</w:t>
      </w:r>
      <w:r w:rsidR="00C15D3F">
        <w:t>.</w:t>
      </w:r>
    </w:p>
    <w:p w14:paraId="7968EC5B" w14:textId="77777777" w:rsidR="00A10857" w:rsidRDefault="00A10857">
      <w:pPr>
        <w:spacing w:line="240" w:lineRule="auto"/>
      </w:pPr>
      <w:r>
        <w:br w:type="page"/>
      </w:r>
    </w:p>
    <w:p w14:paraId="4330BEAE" w14:textId="4D82BCF7" w:rsidR="00587E0E" w:rsidRDefault="00587E0E" w:rsidP="00D355B3">
      <w:pPr>
        <w:spacing w:line="240" w:lineRule="auto"/>
      </w:pPr>
      <w:r w:rsidRPr="00347B36">
        <w:rPr>
          <w:b/>
          <w:bCs/>
        </w:rPr>
        <w:lastRenderedPageBreak/>
        <w:t>Table 1</w:t>
      </w:r>
      <w:r w:rsidR="00347B36" w:rsidRPr="00347B36">
        <w:rPr>
          <w:b/>
          <w:bCs/>
        </w:rPr>
        <w:t>.</w:t>
      </w:r>
      <w:r>
        <w:t xml:space="preserve"> Description of </w:t>
      </w:r>
      <w:r w:rsidR="00AD75EE">
        <w:t xml:space="preserve">MarineGEO </w:t>
      </w:r>
      <w:r>
        <w:t xml:space="preserve">data types and their </w:t>
      </w:r>
      <w:r w:rsidR="00AD75EE">
        <w:t xml:space="preserve">schedule of </w:t>
      </w:r>
      <w:r>
        <w:t>availability to contributing participants (the network) and public release.</w:t>
      </w:r>
      <w:r w:rsidR="009075FB">
        <w:t xml:space="preserve"> Exceptions may be made in certain cases for sensitive data, including locations of vulnerable species or habitats or data that forms part of a student thesis.</w:t>
      </w:r>
    </w:p>
    <w:p w14:paraId="166CD3CC" w14:textId="77777777" w:rsidR="00587E0E" w:rsidRDefault="00587E0E" w:rsidP="00D355B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1383"/>
        <w:gridCol w:w="1603"/>
        <w:gridCol w:w="2673"/>
        <w:gridCol w:w="2135"/>
      </w:tblGrid>
      <w:tr w:rsidR="00587E0E" w:rsidRPr="00587E0E" w14:paraId="337A10F4" w14:textId="77777777" w:rsidTr="004218E4">
        <w:trPr>
          <w:trHeight w:val="420"/>
        </w:trPr>
        <w:tc>
          <w:tcPr>
            <w:tcW w:w="832" w:type="pct"/>
            <w:noWrap/>
          </w:tcPr>
          <w:p w14:paraId="13E8A822" w14:textId="77777777" w:rsidR="00587E0E" w:rsidRPr="00587E0E" w:rsidRDefault="00587E0E" w:rsidP="00587E0E">
            <w:pPr>
              <w:spacing w:line="240" w:lineRule="auto"/>
              <w:jc w:val="center"/>
              <w:rPr>
                <w:b/>
                <w:bCs/>
              </w:rPr>
            </w:pPr>
            <w:r w:rsidRPr="00587E0E">
              <w:rPr>
                <w:b/>
                <w:bCs/>
              </w:rPr>
              <w:t>Data category</w:t>
            </w:r>
          </w:p>
        </w:tc>
        <w:tc>
          <w:tcPr>
            <w:tcW w:w="740" w:type="pct"/>
            <w:noWrap/>
          </w:tcPr>
          <w:p w14:paraId="5F86E9B4" w14:textId="77777777" w:rsidR="00587E0E" w:rsidRPr="00587E0E" w:rsidRDefault="00587E0E" w:rsidP="00587E0E">
            <w:pPr>
              <w:spacing w:line="240" w:lineRule="auto"/>
              <w:jc w:val="center"/>
              <w:rPr>
                <w:b/>
                <w:bCs/>
              </w:rPr>
            </w:pPr>
            <w:r w:rsidRPr="00587E0E">
              <w:rPr>
                <w:b/>
                <w:bCs/>
              </w:rPr>
              <w:t>Data type</w:t>
            </w:r>
          </w:p>
        </w:tc>
        <w:tc>
          <w:tcPr>
            <w:tcW w:w="1437" w:type="pct"/>
            <w:noWrap/>
          </w:tcPr>
          <w:p w14:paraId="55C097EC" w14:textId="77777777" w:rsidR="00587E0E" w:rsidRPr="00587E0E" w:rsidRDefault="00587E0E" w:rsidP="00587E0E">
            <w:pPr>
              <w:spacing w:line="240" w:lineRule="auto"/>
              <w:jc w:val="center"/>
              <w:rPr>
                <w:b/>
                <w:bCs/>
              </w:rPr>
            </w:pPr>
            <w:r w:rsidRPr="00587E0E">
              <w:rPr>
                <w:b/>
                <w:bCs/>
              </w:rPr>
              <w:t>Details</w:t>
            </w:r>
          </w:p>
        </w:tc>
        <w:tc>
          <w:tcPr>
            <w:tcW w:w="996" w:type="pct"/>
            <w:noWrap/>
          </w:tcPr>
          <w:p w14:paraId="58912A66" w14:textId="72C28783" w:rsidR="00587E0E" w:rsidRPr="00587E0E" w:rsidRDefault="004218E4" w:rsidP="00587E0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Availability </w:t>
            </w:r>
            <w:r w:rsidR="00587E0E" w:rsidRPr="00587E0E">
              <w:rPr>
                <w:b/>
                <w:bCs/>
              </w:rPr>
              <w:t xml:space="preserve">To </w:t>
            </w:r>
            <w:r w:rsidR="00587E0E">
              <w:rPr>
                <w:b/>
                <w:bCs/>
              </w:rPr>
              <w:t>Participants</w:t>
            </w:r>
          </w:p>
        </w:tc>
        <w:tc>
          <w:tcPr>
            <w:tcW w:w="995" w:type="pct"/>
            <w:noWrap/>
          </w:tcPr>
          <w:p w14:paraId="541479F3" w14:textId="4E873585" w:rsidR="00587E0E" w:rsidRPr="00587E0E" w:rsidRDefault="004218E4" w:rsidP="00587E0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Availability</w:t>
            </w:r>
            <w:r w:rsidRPr="00587E0E">
              <w:rPr>
                <w:b/>
                <w:bCs/>
              </w:rPr>
              <w:t xml:space="preserve"> </w:t>
            </w:r>
            <w:r w:rsidR="00587E0E" w:rsidRPr="00587E0E">
              <w:rPr>
                <w:b/>
                <w:bCs/>
              </w:rPr>
              <w:t>To Public</w:t>
            </w:r>
          </w:p>
        </w:tc>
      </w:tr>
      <w:tr w:rsidR="00587E0E" w:rsidRPr="00587E0E" w14:paraId="32D8E1F4" w14:textId="77777777" w:rsidTr="004218E4">
        <w:trPr>
          <w:trHeight w:val="620"/>
        </w:trPr>
        <w:tc>
          <w:tcPr>
            <w:tcW w:w="832" w:type="pct"/>
            <w:hideMark/>
          </w:tcPr>
          <w:p w14:paraId="6CE9250C" w14:textId="77777777" w:rsidR="00587E0E" w:rsidRPr="00587E0E" w:rsidRDefault="00587E0E" w:rsidP="00587E0E">
            <w:pPr>
              <w:spacing w:line="240" w:lineRule="auto"/>
            </w:pPr>
            <w:r w:rsidRPr="00587E0E">
              <w:t>Geophysical</w:t>
            </w:r>
          </w:p>
        </w:tc>
        <w:tc>
          <w:tcPr>
            <w:tcW w:w="740" w:type="pct"/>
            <w:hideMark/>
          </w:tcPr>
          <w:p w14:paraId="473F3758" w14:textId="77777777" w:rsidR="00587E0E" w:rsidRPr="00587E0E" w:rsidRDefault="00587E0E" w:rsidP="00587E0E">
            <w:pPr>
              <w:spacing w:line="240" w:lineRule="auto"/>
            </w:pPr>
            <w:r w:rsidRPr="00587E0E">
              <w:t>Maps</w:t>
            </w:r>
          </w:p>
        </w:tc>
        <w:tc>
          <w:tcPr>
            <w:tcW w:w="1437" w:type="pct"/>
            <w:hideMark/>
          </w:tcPr>
          <w:p w14:paraId="5F3AF9B8" w14:textId="2965DE6A" w:rsidR="00587E0E" w:rsidRPr="00587E0E" w:rsidRDefault="003C0C3C" w:rsidP="00587E0E">
            <w:pPr>
              <w:spacing w:line="240" w:lineRule="auto"/>
            </w:pPr>
            <w:r>
              <w:t>D</w:t>
            </w:r>
            <w:r w:rsidR="00587E0E" w:rsidRPr="00587E0E">
              <w:t>rone imagery, GIS layers</w:t>
            </w:r>
          </w:p>
        </w:tc>
        <w:tc>
          <w:tcPr>
            <w:tcW w:w="996" w:type="pct"/>
            <w:hideMark/>
          </w:tcPr>
          <w:p w14:paraId="748ADE02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  <w:tc>
          <w:tcPr>
            <w:tcW w:w="995" w:type="pct"/>
            <w:hideMark/>
          </w:tcPr>
          <w:p w14:paraId="0E73EE96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</w:tr>
      <w:tr w:rsidR="00587E0E" w:rsidRPr="00587E0E" w14:paraId="2E43D51D" w14:textId="77777777" w:rsidTr="004218E4">
        <w:trPr>
          <w:trHeight w:val="620"/>
        </w:trPr>
        <w:tc>
          <w:tcPr>
            <w:tcW w:w="832" w:type="pct"/>
            <w:hideMark/>
          </w:tcPr>
          <w:p w14:paraId="45612861" w14:textId="77777777" w:rsidR="00587E0E" w:rsidRPr="00587E0E" w:rsidRDefault="00587E0E" w:rsidP="00587E0E">
            <w:pPr>
              <w:spacing w:line="240" w:lineRule="auto"/>
            </w:pPr>
            <w:r w:rsidRPr="00587E0E">
              <w:t>Environmental</w:t>
            </w:r>
          </w:p>
        </w:tc>
        <w:tc>
          <w:tcPr>
            <w:tcW w:w="740" w:type="pct"/>
            <w:hideMark/>
          </w:tcPr>
          <w:p w14:paraId="3B56E9CE" w14:textId="77777777" w:rsidR="00587E0E" w:rsidRPr="00587E0E" w:rsidRDefault="00587E0E" w:rsidP="00587E0E">
            <w:pPr>
              <w:spacing w:line="240" w:lineRule="auto"/>
            </w:pPr>
            <w:r w:rsidRPr="00587E0E">
              <w:t>Geophysical</w:t>
            </w:r>
          </w:p>
        </w:tc>
        <w:tc>
          <w:tcPr>
            <w:tcW w:w="1437" w:type="pct"/>
            <w:hideMark/>
          </w:tcPr>
          <w:p w14:paraId="10545224" w14:textId="18DFE542" w:rsidR="00587E0E" w:rsidRPr="00587E0E" w:rsidRDefault="009075FB" w:rsidP="00587E0E">
            <w:pPr>
              <w:spacing w:line="240" w:lineRule="auto"/>
            </w:pPr>
            <w:r>
              <w:t>Water quality s</w:t>
            </w:r>
            <w:r w:rsidR="00587E0E" w:rsidRPr="00587E0E">
              <w:t xml:space="preserve">onde, </w:t>
            </w:r>
            <w:r w:rsidR="003C0C3C" w:rsidRPr="00587E0E">
              <w:t>meteorological</w:t>
            </w:r>
            <w:r w:rsidR="00587E0E" w:rsidRPr="00587E0E">
              <w:t xml:space="preserve"> station</w:t>
            </w:r>
          </w:p>
        </w:tc>
        <w:tc>
          <w:tcPr>
            <w:tcW w:w="996" w:type="pct"/>
            <w:hideMark/>
          </w:tcPr>
          <w:p w14:paraId="0DDFDB70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  <w:tc>
          <w:tcPr>
            <w:tcW w:w="995" w:type="pct"/>
            <w:hideMark/>
          </w:tcPr>
          <w:p w14:paraId="5FF21F8B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</w:tr>
      <w:tr w:rsidR="00587E0E" w:rsidRPr="00587E0E" w14:paraId="1266D0DE" w14:textId="77777777" w:rsidTr="004218E4">
        <w:trPr>
          <w:trHeight w:val="930"/>
        </w:trPr>
        <w:tc>
          <w:tcPr>
            <w:tcW w:w="832" w:type="pct"/>
            <w:hideMark/>
          </w:tcPr>
          <w:p w14:paraId="7B537A92" w14:textId="77777777" w:rsidR="00587E0E" w:rsidRPr="00587E0E" w:rsidRDefault="00587E0E" w:rsidP="00587E0E">
            <w:pPr>
              <w:spacing w:line="240" w:lineRule="auto"/>
            </w:pPr>
            <w:r w:rsidRPr="00587E0E">
              <w:t>Biodiversity</w:t>
            </w:r>
          </w:p>
        </w:tc>
        <w:tc>
          <w:tcPr>
            <w:tcW w:w="740" w:type="pct"/>
            <w:hideMark/>
          </w:tcPr>
          <w:p w14:paraId="4C92265A" w14:textId="77777777" w:rsidR="00587E0E" w:rsidRPr="00587E0E" w:rsidRDefault="00587E0E" w:rsidP="00587E0E">
            <w:pPr>
              <w:spacing w:line="240" w:lineRule="auto"/>
            </w:pPr>
            <w:r w:rsidRPr="00587E0E">
              <w:t>BioBlitz</w:t>
            </w:r>
          </w:p>
        </w:tc>
        <w:tc>
          <w:tcPr>
            <w:tcW w:w="1437" w:type="pct"/>
            <w:hideMark/>
          </w:tcPr>
          <w:p w14:paraId="1DD63984" w14:textId="2D6117C1" w:rsidR="00587E0E" w:rsidRPr="00587E0E" w:rsidRDefault="003C0C3C" w:rsidP="00587E0E">
            <w:pPr>
              <w:spacing w:line="240" w:lineRule="auto"/>
            </w:pPr>
            <w:r>
              <w:t>S</w:t>
            </w:r>
            <w:r w:rsidR="00587E0E" w:rsidRPr="00587E0E">
              <w:t>pecies names, images, DNA barcode sequences, associated metadata</w:t>
            </w:r>
          </w:p>
        </w:tc>
        <w:tc>
          <w:tcPr>
            <w:tcW w:w="996" w:type="pct"/>
            <w:hideMark/>
          </w:tcPr>
          <w:p w14:paraId="3E69493B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  <w:tc>
          <w:tcPr>
            <w:tcW w:w="995" w:type="pct"/>
            <w:hideMark/>
          </w:tcPr>
          <w:p w14:paraId="682B32D3" w14:textId="77777777" w:rsidR="00587E0E" w:rsidRPr="00587E0E" w:rsidRDefault="00587E0E" w:rsidP="00587E0E">
            <w:pPr>
              <w:spacing w:line="240" w:lineRule="auto"/>
            </w:pPr>
            <w:r w:rsidRPr="00587E0E">
              <w:t>2 years</w:t>
            </w:r>
          </w:p>
        </w:tc>
      </w:tr>
      <w:tr w:rsidR="00587E0E" w:rsidRPr="00587E0E" w14:paraId="6174A6FC" w14:textId="77777777" w:rsidTr="004218E4">
        <w:trPr>
          <w:trHeight w:val="930"/>
        </w:trPr>
        <w:tc>
          <w:tcPr>
            <w:tcW w:w="832" w:type="pct"/>
            <w:hideMark/>
          </w:tcPr>
          <w:p w14:paraId="0D6791A5" w14:textId="77777777" w:rsidR="00587E0E" w:rsidRPr="00587E0E" w:rsidRDefault="00587E0E" w:rsidP="00587E0E">
            <w:pPr>
              <w:spacing w:line="240" w:lineRule="auto"/>
            </w:pPr>
            <w:r w:rsidRPr="00587E0E">
              <w:t>Biodiversity</w:t>
            </w:r>
          </w:p>
        </w:tc>
        <w:tc>
          <w:tcPr>
            <w:tcW w:w="740" w:type="pct"/>
            <w:hideMark/>
          </w:tcPr>
          <w:p w14:paraId="594B14DF" w14:textId="77777777" w:rsidR="00587E0E" w:rsidRPr="00587E0E" w:rsidRDefault="00587E0E" w:rsidP="00587E0E">
            <w:pPr>
              <w:spacing w:line="240" w:lineRule="auto"/>
            </w:pPr>
            <w:proofErr w:type="gramStart"/>
            <w:r w:rsidRPr="00587E0E">
              <w:t>Bio-monitoring</w:t>
            </w:r>
            <w:proofErr w:type="gramEnd"/>
          </w:p>
        </w:tc>
        <w:tc>
          <w:tcPr>
            <w:tcW w:w="1437" w:type="pct"/>
            <w:hideMark/>
          </w:tcPr>
          <w:p w14:paraId="306C961D" w14:textId="5308A081" w:rsidR="00587E0E" w:rsidRPr="00587E0E" w:rsidRDefault="003C0C3C" w:rsidP="00587E0E">
            <w:pPr>
              <w:spacing w:line="240" w:lineRule="auto"/>
            </w:pPr>
            <w:r>
              <w:t>S</w:t>
            </w:r>
            <w:r w:rsidR="00587E0E" w:rsidRPr="00587E0E">
              <w:t>urveys</w:t>
            </w:r>
            <w:r>
              <w:t xml:space="preserve"> (</w:t>
            </w:r>
            <w:r w:rsidR="00587E0E" w:rsidRPr="00587E0E">
              <w:t>e.g., quantitative abundance by taxon</w:t>
            </w:r>
            <w:r>
              <w:t>)</w:t>
            </w:r>
          </w:p>
        </w:tc>
        <w:tc>
          <w:tcPr>
            <w:tcW w:w="996" w:type="pct"/>
            <w:hideMark/>
          </w:tcPr>
          <w:p w14:paraId="50C7ADFA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  <w:tc>
          <w:tcPr>
            <w:tcW w:w="995" w:type="pct"/>
            <w:hideMark/>
          </w:tcPr>
          <w:p w14:paraId="176A28B0" w14:textId="77777777" w:rsidR="00587E0E" w:rsidRPr="00587E0E" w:rsidRDefault="00587E0E" w:rsidP="00587E0E">
            <w:pPr>
              <w:spacing w:line="240" w:lineRule="auto"/>
            </w:pPr>
            <w:r w:rsidRPr="00587E0E">
              <w:t>2 years</w:t>
            </w:r>
          </w:p>
        </w:tc>
      </w:tr>
      <w:tr w:rsidR="00587E0E" w:rsidRPr="00587E0E" w14:paraId="16C92A85" w14:textId="77777777" w:rsidTr="004218E4">
        <w:trPr>
          <w:trHeight w:val="930"/>
        </w:trPr>
        <w:tc>
          <w:tcPr>
            <w:tcW w:w="832" w:type="pct"/>
            <w:hideMark/>
          </w:tcPr>
          <w:p w14:paraId="53370144" w14:textId="77777777" w:rsidR="00587E0E" w:rsidRPr="00587E0E" w:rsidRDefault="00587E0E" w:rsidP="00587E0E">
            <w:pPr>
              <w:spacing w:line="240" w:lineRule="auto"/>
            </w:pPr>
            <w:r w:rsidRPr="00587E0E">
              <w:t>Biodiversity</w:t>
            </w:r>
          </w:p>
        </w:tc>
        <w:tc>
          <w:tcPr>
            <w:tcW w:w="740" w:type="pct"/>
            <w:hideMark/>
          </w:tcPr>
          <w:p w14:paraId="003860E1" w14:textId="77777777" w:rsidR="00587E0E" w:rsidRPr="00587E0E" w:rsidRDefault="00587E0E" w:rsidP="00587E0E">
            <w:pPr>
              <w:spacing w:line="240" w:lineRule="auto"/>
            </w:pPr>
            <w:r w:rsidRPr="00587E0E">
              <w:t>Experiments</w:t>
            </w:r>
          </w:p>
        </w:tc>
        <w:tc>
          <w:tcPr>
            <w:tcW w:w="1437" w:type="pct"/>
            <w:hideMark/>
          </w:tcPr>
          <w:p w14:paraId="0DE93CAE" w14:textId="77777777" w:rsidR="00587E0E" w:rsidRPr="00587E0E" w:rsidRDefault="00587E0E" w:rsidP="00587E0E">
            <w:pPr>
              <w:spacing w:line="240" w:lineRule="auto"/>
            </w:pPr>
            <w:r w:rsidRPr="00587E0E">
              <w:t>Coordinated experiments</w:t>
            </w:r>
          </w:p>
        </w:tc>
        <w:tc>
          <w:tcPr>
            <w:tcW w:w="996" w:type="pct"/>
            <w:hideMark/>
          </w:tcPr>
          <w:p w14:paraId="47C9A7BE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  <w:tc>
          <w:tcPr>
            <w:tcW w:w="995" w:type="pct"/>
            <w:hideMark/>
          </w:tcPr>
          <w:p w14:paraId="1E3505A3" w14:textId="77777777" w:rsidR="00587E0E" w:rsidRPr="00587E0E" w:rsidRDefault="00587E0E" w:rsidP="00587E0E">
            <w:pPr>
              <w:spacing w:line="240" w:lineRule="auto"/>
            </w:pPr>
            <w:r w:rsidRPr="00587E0E">
              <w:t>At publication*</w:t>
            </w:r>
          </w:p>
        </w:tc>
      </w:tr>
      <w:tr w:rsidR="00587E0E" w:rsidRPr="00587E0E" w14:paraId="4C8D59AB" w14:textId="77777777" w:rsidTr="004218E4">
        <w:trPr>
          <w:trHeight w:val="930"/>
        </w:trPr>
        <w:tc>
          <w:tcPr>
            <w:tcW w:w="832" w:type="pct"/>
            <w:hideMark/>
          </w:tcPr>
          <w:p w14:paraId="3E70F494" w14:textId="77777777" w:rsidR="00587E0E" w:rsidRPr="00587E0E" w:rsidRDefault="00587E0E" w:rsidP="00587E0E">
            <w:pPr>
              <w:spacing w:line="240" w:lineRule="auto"/>
            </w:pPr>
            <w:r w:rsidRPr="00587E0E">
              <w:t>Personal Information</w:t>
            </w:r>
          </w:p>
        </w:tc>
        <w:tc>
          <w:tcPr>
            <w:tcW w:w="740" w:type="pct"/>
            <w:hideMark/>
          </w:tcPr>
          <w:p w14:paraId="0E639774" w14:textId="77777777" w:rsidR="00587E0E" w:rsidRPr="00587E0E" w:rsidRDefault="00587E0E" w:rsidP="00587E0E">
            <w:pPr>
              <w:spacing w:line="240" w:lineRule="auto"/>
            </w:pPr>
            <w:r w:rsidRPr="00587E0E">
              <w:t xml:space="preserve">Personally Identifiable Information </w:t>
            </w:r>
          </w:p>
        </w:tc>
        <w:tc>
          <w:tcPr>
            <w:tcW w:w="1437" w:type="pct"/>
            <w:hideMark/>
          </w:tcPr>
          <w:p w14:paraId="1DB5EDC6" w14:textId="77777777" w:rsidR="00587E0E" w:rsidRPr="00587E0E" w:rsidRDefault="00587E0E" w:rsidP="00587E0E">
            <w:pPr>
              <w:spacing w:line="240" w:lineRule="auto"/>
            </w:pPr>
            <w:r w:rsidRPr="00587E0E">
              <w:t>Names, contact information, photographs, and other personal details</w:t>
            </w:r>
          </w:p>
        </w:tc>
        <w:tc>
          <w:tcPr>
            <w:tcW w:w="996" w:type="pct"/>
            <w:hideMark/>
          </w:tcPr>
          <w:p w14:paraId="676F73FC" w14:textId="77777777" w:rsidR="00587E0E" w:rsidRPr="00587E0E" w:rsidRDefault="00587E0E" w:rsidP="00587E0E">
            <w:pPr>
              <w:spacing w:line="240" w:lineRule="auto"/>
            </w:pPr>
            <w:r w:rsidRPr="00587E0E">
              <w:t>Only with signed permission of person</w:t>
            </w:r>
            <w:r w:rsidRPr="00587E0E">
              <w:rPr>
                <w:vertAlign w:val="superscript"/>
              </w:rPr>
              <w:t>†</w:t>
            </w:r>
          </w:p>
        </w:tc>
        <w:tc>
          <w:tcPr>
            <w:tcW w:w="995" w:type="pct"/>
            <w:hideMark/>
          </w:tcPr>
          <w:p w14:paraId="39C16716" w14:textId="77777777" w:rsidR="00587E0E" w:rsidRPr="00587E0E" w:rsidRDefault="00587E0E" w:rsidP="00587E0E">
            <w:pPr>
              <w:spacing w:line="240" w:lineRule="auto"/>
            </w:pPr>
            <w:r w:rsidRPr="00587E0E">
              <w:t>Only with signed permission of person</w:t>
            </w:r>
            <w:r w:rsidRPr="00587E0E">
              <w:rPr>
                <w:vertAlign w:val="superscript"/>
              </w:rPr>
              <w:t>†</w:t>
            </w:r>
          </w:p>
        </w:tc>
      </w:tr>
      <w:tr w:rsidR="00587E0E" w:rsidRPr="00587E0E" w14:paraId="6590E221" w14:textId="77777777" w:rsidTr="004218E4">
        <w:trPr>
          <w:trHeight w:val="620"/>
        </w:trPr>
        <w:tc>
          <w:tcPr>
            <w:tcW w:w="832" w:type="pct"/>
            <w:hideMark/>
          </w:tcPr>
          <w:p w14:paraId="65B5D0D5" w14:textId="77777777" w:rsidR="00587E0E" w:rsidRPr="00587E0E" w:rsidRDefault="00587E0E" w:rsidP="00587E0E">
            <w:pPr>
              <w:spacing w:line="240" w:lineRule="auto"/>
            </w:pPr>
            <w:r w:rsidRPr="00587E0E">
              <w:t>Metadata</w:t>
            </w:r>
          </w:p>
        </w:tc>
        <w:tc>
          <w:tcPr>
            <w:tcW w:w="740" w:type="pct"/>
            <w:hideMark/>
          </w:tcPr>
          <w:p w14:paraId="0B1961CF" w14:textId="77777777" w:rsidR="00587E0E" w:rsidRPr="00587E0E" w:rsidRDefault="00587E0E" w:rsidP="00587E0E">
            <w:pPr>
              <w:spacing w:line="240" w:lineRule="auto"/>
            </w:pPr>
            <w:r w:rsidRPr="00587E0E">
              <w:t>Metadata</w:t>
            </w:r>
          </w:p>
        </w:tc>
        <w:tc>
          <w:tcPr>
            <w:tcW w:w="1437" w:type="pct"/>
            <w:hideMark/>
          </w:tcPr>
          <w:p w14:paraId="67CA0149" w14:textId="77777777" w:rsidR="00587E0E" w:rsidRPr="00587E0E" w:rsidRDefault="00587E0E" w:rsidP="00587E0E">
            <w:pPr>
              <w:spacing w:line="240" w:lineRule="auto"/>
            </w:pPr>
            <w:r w:rsidRPr="00587E0E">
              <w:t xml:space="preserve">Descriptions and summaries of data sets </w:t>
            </w:r>
          </w:p>
        </w:tc>
        <w:tc>
          <w:tcPr>
            <w:tcW w:w="996" w:type="pct"/>
            <w:hideMark/>
          </w:tcPr>
          <w:p w14:paraId="4BA04B79" w14:textId="77777777" w:rsidR="00587E0E" w:rsidRPr="00587E0E" w:rsidRDefault="00587E0E" w:rsidP="00587E0E">
            <w:pPr>
              <w:spacing w:line="240" w:lineRule="auto"/>
            </w:pPr>
            <w:r w:rsidRPr="00587E0E">
              <w:t>Immediate after basic QAQC</w:t>
            </w:r>
          </w:p>
        </w:tc>
        <w:tc>
          <w:tcPr>
            <w:tcW w:w="995" w:type="pct"/>
            <w:hideMark/>
          </w:tcPr>
          <w:p w14:paraId="5F7C47C2" w14:textId="77777777" w:rsidR="00587E0E" w:rsidRPr="00587E0E" w:rsidRDefault="00587E0E" w:rsidP="00587E0E">
            <w:pPr>
              <w:spacing w:line="240" w:lineRule="auto"/>
            </w:pPr>
            <w:r w:rsidRPr="00587E0E">
              <w:t>2 years</w:t>
            </w:r>
          </w:p>
        </w:tc>
      </w:tr>
    </w:tbl>
    <w:p w14:paraId="11B60F75" w14:textId="77777777" w:rsidR="00587E0E" w:rsidRDefault="00587E0E" w:rsidP="00D355B3">
      <w:pPr>
        <w:spacing w:line="240" w:lineRule="auto"/>
      </w:pPr>
    </w:p>
    <w:p w14:paraId="4F29671D" w14:textId="1B9163E9" w:rsidR="00587E0E" w:rsidRDefault="00587E0E" w:rsidP="00D355B3">
      <w:pPr>
        <w:spacing w:line="240" w:lineRule="auto"/>
      </w:pPr>
      <w:r>
        <w:t>*</w:t>
      </w:r>
      <w:r w:rsidRPr="00587E0E">
        <w:t xml:space="preserve"> </w:t>
      </w:r>
      <w:r w:rsidR="009075FB">
        <w:t xml:space="preserve">These data should not be </w:t>
      </w:r>
      <w:r w:rsidRPr="00587E0E">
        <w:t>use</w:t>
      </w:r>
      <w:r w:rsidR="009075FB">
        <w:t>d</w:t>
      </w:r>
      <w:r w:rsidRPr="00587E0E">
        <w:t xml:space="preserve"> in individual manuscripts before </w:t>
      </w:r>
      <w:r w:rsidR="009075FB">
        <w:t xml:space="preserve">the </w:t>
      </w:r>
      <w:r w:rsidRPr="00587E0E">
        <w:t xml:space="preserve">network manuscript </w:t>
      </w:r>
      <w:r w:rsidR="009075FB">
        <w:t xml:space="preserve">incorporating them </w:t>
      </w:r>
      <w:r w:rsidRPr="00587E0E">
        <w:t xml:space="preserve">is accepted, unless approved by MarineGEO Central </w:t>
      </w:r>
      <w:r w:rsidR="009075FB">
        <w:t>t</w:t>
      </w:r>
      <w:r w:rsidRPr="00587E0E">
        <w:t>eam</w:t>
      </w:r>
      <w:r w:rsidR="009075FB">
        <w:t>.</w:t>
      </w:r>
    </w:p>
    <w:p w14:paraId="5BCDB651" w14:textId="77777777" w:rsidR="00587E0E" w:rsidRDefault="00587E0E" w:rsidP="00D355B3">
      <w:pPr>
        <w:spacing w:line="240" w:lineRule="auto"/>
        <w:rPr>
          <w:rFonts w:ascii="Arial Nova Light" w:hAnsi="Arial Nova Light"/>
          <w:vertAlign w:val="superscript"/>
        </w:rPr>
      </w:pPr>
    </w:p>
    <w:p w14:paraId="6474BF7A" w14:textId="00A32E05" w:rsidR="0080295A" w:rsidRPr="00661691" w:rsidRDefault="00587E0E" w:rsidP="00D355B3">
      <w:pPr>
        <w:spacing w:line="240" w:lineRule="auto"/>
      </w:pPr>
      <w:r w:rsidRPr="00587E0E">
        <w:rPr>
          <w:rFonts w:ascii="Arial Nova Light" w:hAnsi="Arial Nova Light"/>
          <w:vertAlign w:val="superscript"/>
        </w:rPr>
        <w:t>†</w:t>
      </w:r>
      <w:r>
        <w:rPr>
          <w:rFonts w:ascii="Arial Nova Light" w:hAnsi="Arial Nova Light"/>
          <w:vertAlign w:val="superscript"/>
        </w:rPr>
        <w:t xml:space="preserve"> </w:t>
      </w:r>
      <w:r w:rsidR="009075FB">
        <w:t>The S</w:t>
      </w:r>
      <w:r>
        <w:t>mithsonian Institution</w:t>
      </w:r>
      <w:r w:rsidRPr="00587E0E">
        <w:t xml:space="preserve"> (SI) requires that non-SI individuals sign a waiver before appearing in images displayed by SI to the publi</w:t>
      </w:r>
      <w:r w:rsidR="00A10857">
        <w:t>c</w:t>
      </w:r>
      <w:r w:rsidR="009075FB">
        <w:t>.</w:t>
      </w:r>
    </w:p>
    <w:sectPr w:rsidR="0080295A" w:rsidRPr="00661691" w:rsidSect="0043743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D247" w14:textId="77777777" w:rsidR="000801DE" w:rsidRDefault="000801DE" w:rsidP="00A12FD8">
      <w:r>
        <w:separator/>
      </w:r>
    </w:p>
    <w:p w14:paraId="354CA517" w14:textId="77777777" w:rsidR="000801DE" w:rsidRDefault="000801DE" w:rsidP="00A12FD8"/>
    <w:p w14:paraId="58663F24" w14:textId="77777777" w:rsidR="000801DE" w:rsidRDefault="000801DE" w:rsidP="00A12FD8"/>
  </w:endnote>
  <w:endnote w:type="continuationSeparator" w:id="0">
    <w:p w14:paraId="0EBD444B" w14:textId="77777777" w:rsidR="000801DE" w:rsidRDefault="000801DE" w:rsidP="00A12FD8">
      <w:r>
        <w:continuationSeparator/>
      </w:r>
    </w:p>
    <w:p w14:paraId="0DF1A2DA" w14:textId="77777777" w:rsidR="000801DE" w:rsidRDefault="000801DE" w:rsidP="00A12FD8"/>
    <w:p w14:paraId="0A01421E" w14:textId="77777777" w:rsidR="000801DE" w:rsidRDefault="000801DE" w:rsidP="00A12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7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55C50" w14:textId="05F5E3AE" w:rsidR="003B2B27" w:rsidRDefault="003B2B27">
        <w:pPr>
          <w:pStyle w:val="Footer"/>
          <w:jc w:val="center"/>
        </w:pPr>
      </w:p>
      <w:p w14:paraId="6E10267F" w14:textId="708BC3A3" w:rsidR="003B2B27" w:rsidRDefault="003B2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9D837B" w14:textId="77777777" w:rsidR="003B2B27" w:rsidRDefault="003B2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D846" w14:textId="2CC9E357" w:rsidR="003B2B27" w:rsidRDefault="003B2B27" w:rsidP="000645BD">
    <w:pPr>
      <w:pStyle w:val="Footer"/>
      <w:spacing w:line="240" w:lineRule="auto"/>
      <w:jc w:val="center"/>
    </w:pPr>
    <w:r>
      <w:t xml:space="preserve"> </w:t>
    </w:r>
  </w:p>
  <w:p w14:paraId="21F60C53" w14:textId="3CEEB606" w:rsidR="003B2B27" w:rsidRDefault="003B2B27" w:rsidP="00B051AB">
    <w:pPr>
      <w:pStyle w:val="Footer"/>
      <w:jc w:val="center"/>
    </w:pPr>
    <w:r>
      <w:rPr>
        <w:noProof/>
      </w:rPr>
      <w:drawing>
        <wp:inline distT="0" distB="0" distL="0" distR="0" wp14:anchorId="7583BE23" wp14:editId="5563263F">
          <wp:extent cx="2042795" cy="284480"/>
          <wp:effectExtent l="0" t="0" r="1905" b="0"/>
          <wp:docPr id="3" name="Picture 3" descr="Smithsonian Institu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mithsonian Institution logo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95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7A9B2" w14:textId="3E624871" w:rsidR="003B2B27" w:rsidRPr="00B051AB" w:rsidRDefault="003B2B27" w:rsidP="00B051A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marinegeo@si.edu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AB80" w14:textId="77777777" w:rsidR="000801DE" w:rsidRDefault="000801DE" w:rsidP="00A12FD8">
      <w:r>
        <w:separator/>
      </w:r>
    </w:p>
    <w:p w14:paraId="2FE1337B" w14:textId="77777777" w:rsidR="000801DE" w:rsidRDefault="000801DE" w:rsidP="00A12FD8"/>
    <w:p w14:paraId="6D80C854" w14:textId="77777777" w:rsidR="000801DE" w:rsidRDefault="000801DE" w:rsidP="00A12FD8"/>
  </w:footnote>
  <w:footnote w:type="continuationSeparator" w:id="0">
    <w:p w14:paraId="01BFB5BC" w14:textId="77777777" w:rsidR="000801DE" w:rsidRDefault="000801DE" w:rsidP="00A12FD8">
      <w:r>
        <w:continuationSeparator/>
      </w:r>
    </w:p>
    <w:p w14:paraId="32ABA57F" w14:textId="77777777" w:rsidR="000801DE" w:rsidRDefault="000801DE" w:rsidP="00A12FD8"/>
    <w:p w14:paraId="7DF8C0F3" w14:textId="77777777" w:rsidR="000801DE" w:rsidRDefault="000801DE" w:rsidP="00A12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2C60" w14:textId="37EB8773" w:rsidR="003B2B27" w:rsidRDefault="003B2B27">
    <w:pPr>
      <w:pStyle w:val="Header"/>
      <w:rPr>
        <w:sz w:val="20"/>
      </w:rPr>
    </w:pPr>
    <w:r w:rsidRPr="003E1105">
      <w:rPr>
        <w:noProof/>
      </w:rPr>
      <w:drawing>
        <wp:inline distT="0" distB="0" distL="0" distR="0" wp14:anchorId="4FB440E1" wp14:editId="410B990E">
          <wp:extent cx="1371600" cy="473759"/>
          <wp:effectExtent l="0" t="0" r="0" b="0"/>
          <wp:docPr id="1" name="Picture 1" descr="MarineG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rineGEO logo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3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0A61">
      <w:rPr>
        <w:i/>
      </w:rPr>
      <w:ptab w:relativeTo="margin" w:alignment="center" w:leader="none"/>
    </w:r>
    <w:r w:rsidR="00B34486">
      <w:rPr>
        <w:i/>
      </w:rPr>
      <w:t xml:space="preserve">.              </w:t>
    </w:r>
    <w:r w:rsidR="00B34486" w:rsidRPr="00B34486">
      <w:t>MarineGEO</w:t>
    </w:r>
    <w:r w:rsidR="00B34486">
      <w:rPr>
        <w:i/>
      </w:rPr>
      <w:t xml:space="preserve"> </w:t>
    </w:r>
    <w:r w:rsidR="008A4807">
      <w:rPr>
        <w:sz w:val="20"/>
      </w:rPr>
      <w:t>Data Policy and Authorship Agreemen</w:t>
    </w:r>
    <w:r w:rsidR="003900BB">
      <w:rPr>
        <w:sz w:val="20"/>
      </w:rPr>
      <w:t>t v</w:t>
    </w:r>
    <w:r w:rsidR="00B34486">
      <w:rPr>
        <w:sz w:val="20"/>
      </w:rPr>
      <w:t xml:space="preserve"> </w:t>
    </w:r>
    <w:r w:rsidR="003900BB">
      <w:rPr>
        <w:sz w:val="20"/>
      </w:rPr>
      <w:t>1.0</w:t>
    </w:r>
    <w:r w:rsidR="00B34486">
      <w:rPr>
        <w:sz w:val="20"/>
      </w:rPr>
      <w:t>, January 2020</w:t>
    </w:r>
  </w:p>
  <w:p w14:paraId="0CF9020E" w14:textId="77777777" w:rsidR="003B2B27" w:rsidRPr="00B051AB" w:rsidRDefault="003B2B27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DFB9" w14:textId="3406679E" w:rsidR="003B2B27" w:rsidRDefault="003B2B27" w:rsidP="003E1105">
    <w:pPr>
      <w:pStyle w:val="Header"/>
      <w:tabs>
        <w:tab w:val="clear" w:pos="4680"/>
      </w:tabs>
    </w:pPr>
    <w:r w:rsidRPr="003E1105">
      <w:rPr>
        <w:noProof/>
      </w:rPr>
      <w:drawing>
        <wp:inline distT="0" distB="0" distL="0" distR="0" wp14:anchorId="28A7912D" wp14:editId="6E6F99BA">
          <wp:extent cx="1371600" cy="473759"/>
          <wp:effectExtent l="0" t="0" r="0" b="0"/>
          <wp:docPr id="2" name="Picture 2" descr="MarineG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rineGEO logo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3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B05EA">
      <w:t>Updated July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F45"/>
    <w:multiLevelType w:val="hybridMultilevel"/>
    <w:tmpl w:val="140EB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92217"/>
    <w:multiLevelType w:val="hybridMultilevel"/>
    <w:tmpl w:val="E752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375"/>
    <w:multiLevelType w:val="hybridMultilevel"/>
    <w:tmpl w:val="368C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120"/>
    <w:multiLevelType w:val="hybridMultilevel"/>
    <w:tmpl w:val="2CD2F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313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43723E"/>
    <w:multiLevelType w:val="hybridMultilevel"/>
    <w:tmpl w:val="0444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63EE"/>
    <w:multiLevelType w:val="hybridMultilevel"/>
    <w:tmpl w:val="D6A4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359"/>
    <w:multiLevelType w:val="hybridMultilevel"/>
    <w:tmpl w:val="D4E26824"/>
    <w:lvl w:ilvl="0" w:tplc="B1B4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53DEA"/>
    <w:multiLevelType w:val="hybridMultilevel"/>
    <w:tmpl w:val="3AA63E04"/>
    <w:lvl w:ilvl="0" w:tplc="C71C1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161E3"/>
    <w:multiLevelType w:val="hybridMultilevel"/>
    <w:tmpl w:val="3EE2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5722"/>
    <w:multiLevelType w:val="hybridMultilevel"/>
    <w:tmpl w:val="DBEEB9A8"/>
    <w:lvl w:ilvl="0" w:tplc="03D45D00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522CCE16">
      <w:start w:val="1"/>
      <w:numFmt w:val="upperLetter"/>
      <w:lvlText w:val="%2."/>
      <w:lvlJc w:val="left"/>
      <w:pPr>
        <w:ind w:left="820" w:hanging="720"/>
        <w:jc w:val="left"/>
      </w:pPr>
      <w:rPr>
        <w:rFonts w:hint="default"/>
        <w:b/>
        <w:bCs/>
        <w:spacing w:val="-2"/>
        <w:w w:val="100"/>
        <w:lang w:val="en-US" w:eastAsia="en-US" w:bidi="en-US"/>
      </w:rPr>
    </w:lvl>
    <w:lvl w:ilvl="2" w:tplc="DCC89188">
      <w:start w:val="1"/>
      <w:numFmt w:val="decimal"/>
      <w:lvlText w:val="%3)"/>
      <w:lvlJc w:val="left"/>
      <w:pPr>
        <w:ind w:left="1540" w:hanging="72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3" w:tplc="A54834B8">
      <w:start w:val="1"/>
      <w:numFmt w:val="lowerLetter"/>
      <w:lvlText w:val="(%4)"/>
      <w:lvlJc w:val="left"/>
      <w:pPr>
        <w:ind w:left="2260" w:hanging="72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4" w:tplc="CECAD842"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en-US"/>
      </w:rPr>
    </w:lvl>
    <w:lvl w:ilvl="5" w:tplc="0A78F12E">
      <w:numFmt w:val="bullet"/>
      <w:lvlText w:val="•"/>
      <w:lvlJc w:val="left"/>
      <w:pPr>
        <w:ind w:left="5005" w:hanging="720"/>
      </w:pPr>
      <w:rPr>
        <w:rFonts w:hint="default"/>
        <w:lang w:val="en-US" w:eastAsia="en-US" w:bidi="en-US"/>
      </w:rPr>
    </w:lvl>
    <w:lvl w:ilvl="6" w:tplc="FD1EED96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en-US"/>
      </w:rPr>
    </w:lvl>
    <w:lvl w:ilvl="7" w:tplc="40DA7E96">
      <w:numFmt w:val="bullet"/>
      <w:lvlText w:val="•"/>
      <w:lvlJc w:val="left"/>
      <w:pPr>
        <w:ind w:left="6835" w:hanging="720"/>
      </w:pPr>
      <w:rPr>
        <w:rFonts w:hint="default"/>
        <w:lang w:val="en-US" w:eastAsia="en-US" w:bidi="en-US"/>
      </w:rPr>
    </w:lvl>
    <w:lvl w:ilvl="8" w:tplc="ABFC7C82"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21167D00"/>
    <w:multiLevelType w:val="hybridMultilevel"/>
    <w:tmpl w:val="684A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33FE"/>
    <w:multiLevelType w:val="hybridMultilevel"/>
    <w:tmpl w:val="15D02498"/>
    <w:lvl w:ilvl="0" w:tplc="D7E86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F5"/>
    <w:multiLevelType w:val="hybridMultilevel"/>
    <w:tmpl w:val="2F64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33F59"/>
    <w:multiLevelType w:val="hybridMultilevel"/>
    <w:tmpl w:val="F29E5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5466B"/>
    <w:multiLevelType w:val="hybridMultilevel"/>
    <w:tmpl w:val="8DBA8A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39E8"/>
    <w:multiLevelType w:val="hybridMultilevel"/>
    <w:tmpl w:val="C5FA7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0587E"/>
    <w:multiLevelType w:val="hybridMultilevel"/>
    <w:tmpl w:val="5510A0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2A2F"/>
    <w:multiLevelType w:val="multilevel"/>
    <w:tmpl w:val="298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6152ED"/>
    <w:multiLevelType w:val="hybridMultilevel"/>
    <w:tmpl w:val="B4780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63C23"/>
    <w:multiLevelType w:val="hybridMultilevel"/>
    <w:tmpl w:val="B6182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650AB"/>
    <w:multiLevelType w:val="hybridMultilevel"/>
    <w:tmpl w:val="0D96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C02BC"/>
    <w:multiLevelType w:val="hybridMultilevel"/>
    <w:tmpl w:val="40E059A4"/>
    <w:lvl w:ilvl="0" w:tplc="42BA6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57D0E"/>
    <w:multiLevelType w:val="hybridMultilevel"/>
    <w:tmpl w:val="535440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07C2B"/>
    <w:multiLevelType w:val="hybridMultilevel"/>
    <w:tmpl w:val="AFA0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B2A5B"/>
    <w:multiLevelType w:val="hybridMultilevel"/>
    <w:tmpl w:val="468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5B33"/>
    <w:multiLevelType w:val="hybridMultilevel"/>
    <w:tmpl w:val="D4AA1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F904DD"/>
    <w:multiLevelType w:val="hybridMultilevel"/>
    <w:tmpl w:val="A70C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37782"/>
    <w:multiLevelType w:val="multilevel"/>
    <w:tmpl w:val="34F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263137"/>
    <w:multiLevelType w:val="hybridMultilevel"/>
    <w:tmpl w:val="43FA1CBE"/>
    <w:lvl w:ilvl="0" w:tplc="746609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43286E"/>
    <w:multiLevelType w:val="hybridMultilevel"/>
    <w:tmpl w:val="63F0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16642"/>
    <w:multiLevelType w:val="hybridMultilevel"/>
    <w:tmpl w:val="29DAD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45BF"/>
    <w:multiLevelType w:val="multilevel"/>
    <w:tmpl w:val="D86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3F1CBA"/>
    <w:multiLevelType w:val="hybridMultilevel"/>
    <w:tmpl w:val="98C8B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11BAC"/>
    <w:multiLevelType w:val="hybridMultilevel"/>
    <w:tmpl w:val="495A6F14"/>
    <w:lvl w:ilvl="0" w:tplc="2A0EDF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ED16AB"/>
    <w:multiLevelType w:val="multilevel"/>
    <w:tmpl w:val="A6D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C1700B"/>
    <w:multiLevelType w:val="hybridMultilevel"/>
    <w:tmpl w:val="6304057C"/>
    <w:lvl w:ilvl="0" w:tplc="6F081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C7E8B"/>
    <w:multiLevelType w:val="hybridMultilevel"/>
    <w:tmpl w:val="BE72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550">
    <w:abstractNumId w:val="4"/>
  </w:num>
  <w:num w:numId="2" w16cid:durableId="421412227">
    <w:abstractNumId w:val="19"/>
  </w:num>
  <w:num w:numId="3" w16cid:durableId="224027482">
    <w:abstractNumId w:val="9"/>
  </w:num>
  <w:num w:numId="4" w16cid:durableId="1314993113">
    <w:abstractNumId w:val="11"/>
  </w:num>
  <w:num w:numId="5" w16cid:durableId="37433050">
    <w:abstractNumId w:val="2"/>
  </w:num>
  <w:num w:numId="6" w16cid:durableId="952439069">
    <w:abstractNumId w:val="31"/>
  </w:num>
  <w:num w:numId="7" w16cid:durableId="532036435">
    <w:abstractNumId w:val="23"/>
  </w:num>
  <w:num w:numId="8" w16cid:durableId="2060008613">
    <w:abstractNumId w:val="7"/>
  </w:num>
  <w:num w:numId="9" w16cid:durableId="629408774">
    <w:abstractNumId w:val="16"/>
  </w:num>
  <w:num w:numId="10" w16cid:durableId="238515038">
    <w:abstractNumId w:val="14"/>
  </w:num>
  <w:num w:numId="11" w16cid:durableId="194926216">
    <w:abstractNumId w:val="0"/>
  </w:num>
  <w:num w:numId="12" w16cid:durableId="1091126539">
    <w:abstractNumId w:val="33"/>
  </w:num>
  <w:num w:numId="13" w16cid:durableId="1466195158">
    <w:abstractNumId w:val="3"/>
  </w:num>
  <w:num w:numId="14" w16cid:durableId="918247218">
    <w:abstractNumId w:val="15"/>
  </w:num>
  <w:num w:numId="15" w16cid:durableId="1413312589">
    <w:abstractNumId w:val="17"/>
  </w:num>
  <w:num w:numId="16" w16cid:durableId="486285687">
    <w:abstractNumId w:val="34"/>
  </w:num>
  <w:num w:numId="17" w16cid:durableId="742916447">
    <w:abstractNumId w:val="8"/>
  </w:num>
  <w:num w:numId="18" w16cid:durableId="1981495554">
    <w:abstractNumId w:val="29"/>
  </w:num>
  <w:num w:numId="19" w16cid:durableId="1031298811">
    <w:abstractNumId w:val="18"/>
  </w:num>
  <w:num w:numId="20" w16cid:durableId="333801477">
    <w:abstractNumId w:val="32"/>
  </w:num>
  <w:num w:numId="21" w16cid:durableId="500237159">
    <w:abstractNumId w:val="35"/>
  </w:num>
  <w:num w:numId="22" w16cid:durableId="1705784658">
    <w:abstractNumId w:val="27"/>
  </w:num>
  <w:num w:numId="23" w16cid:durableId="439374467">
    <w:abstractNumId w:val="6"/>
  </w:num>
  <w:num w:numId="24" w16cid:durableId="268582671">
    <w:abstractNumId w:val="24"/>
  </w:num>
  <w:num w:numId="25" w16cid:durableId="675885167">
    <w:abstractNumId w:val="30"/>
  </w:num>
  <w:num w:numId="26" w16cid:durableId="1821147013">
    <w:abstractNumId w:val="37"/>
  </w:num>
  <w:num w:numId="27" w16cid:durableId="793867315">
    <w:abstractNumId w:val="1"/>
  </w:num>
  <w:num w:numId="28" w16cid:durableId="2031182885">
    <w:abstractNumId w:val="25"/>
  </w:num>
  <w:num w:numId="29" w16cid:durableId="1998609575">
    <w:abstractNumId w:val="26"/>
  </w:num>
  <w:num w:numId="30" w16cid:durableId="1264993362">
    <w:abstractNumId w:val="28"/>
  </w:num>
  <w:num w:numId="31" w16cid:durableId="86122493">
    <w:abstractNumId w:val="5"/>
  </w:num>
  <w:num w:numId="32" w16cid:durableId="280686">
    <w:abstractNumId w:val="21"/>
  </w:num>
  <w:num w:numId="33" w16cid:durableId="1630433326">
    <w:abstractNumId w:val="12"/>
  </w:num>
  <w:num w:numId="34" w16cid:durableId="1637174574">
    <w:abstractNumId w:val="22"/>
  </w:num>
  <w:num w:numId="35" w16cid:durableId="510148595">
    <w:abstractNumId w:val="20"/>
  </w:num>
  <w:num w:numId="36" w16cid:durableId="888414896">
    <w:abstractNumId w:val="36"/>
  </w:num>
  <w:num w:numId="37" w16cid:durableId="653415751">
    <w:abstractNumId w:val="13"/>
  </w:num>
  <w:num w:numId="38" w16cid:durableId="12192746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A0"/>
    <w:rsid w:val="0000520C"/>
    <w:rsid w:val="000072B4"/>
    <w:rsid w:val="00007495"/>
    <w:rsid w:val="000160C5"/>
    <w:rsid w:val="00016B1D"/>
    <w:rsid w:val="000215A8"/>
    <w:rsid w:val="000217DA"/>
    <w:rsid w:val="00021FE0"/>
    <w:rsid w:val="000274C3"/>
    <w:rsid w:val="0003034D"/>
    <w:rsid w:val="00031C86"/>
    <w:rsid w:val="00032956"/>
    <w:rsid w:val="00034A80"/>
    <w:rsid w:val="000358AD"/>
    <w:rsid w:val="00037197"/>
    <w:rsid w:val="00050D25"/>
    <w:rsid w:val="0005116C"/>
    <w:rsid w:val="000513BA"/>
    <w:rsid w:val="000527E0"/>
    <w:rsid w:val="0005396F"/>
    <w:rsid w:val="00061C5C"/>
    <w:rsid w:val="00063526"/>
    <w:rsid w:val="000645BD"/>
    <w:rsid w:val="00065EB6"/>
    <w:rsid w:val="000661A0"/>
    <w:rsid w:val="000671C4"/>
    <w:rsid w:val="00073C23"/>
    <w:rsid w:val="00073C8C"/>
    <w:rsid w:val="00077259"/>
    <w:rsid w:val="000801DE"/>
    <w:rsid w:val="000820CF"/>
    <w:rsid w:val="00082C81"/>
    <w:rsid w:val="00084470"/>
    <w:rsid w:val="000850C4"/>
    <w:rsid w:val="00091428"/>
    <w:rsid w:val="000923C4"/>
    <w:rsid w:val="00096BB9"/>
    <w:rsid w:val="000976F8"/>
    <w:rsid w:val="00097D04"/>
    <w:rsid w:val="000A1A62"/>
    <w:rsid w:val="000A4049"/>
    <w:rsid w:val="000A484F"/>
    <w:rsid w:val="000A5822"/>
    <w:rsid w:val="000B0365"/>
    <w:rsid w:val="000B11CB"/>
    <w:rsid w:val="000B6E6E"/>
    <w:rsid w:val="000C2097"/>
    <w:rsid w:val="000C68A2"/>
    <w:rsid w:val="000D4405"/>
    <w:rsid w:val="000D603E"/>
    <w:rsid w:val="000D69AC"/>
    <w:rsid w:val="000E42EB"/>
    <w:rsid w:val="000E5343"/>
    <w:rsid w:val="000E6E30"/>
    <w:rsid w:val="000F2008"/>
    <w:rsid w:val="000F7AEC"/>
    <w:rsid w:val="000F7E4F"/>
    <w:rsid w:val="00103383"/>
    <w:rsid w:val="001124EA"/>
    <w:rsid w:val="001207E8"/>
    <w:rsid w:val="00123D1D"/>
    <w:rsid w:val="00126DF2"/>
    <w:rsid w:val="00130B76"/>
    <w:rsid w:val="001409AC"/>
    <w:rsid w:val="00141BBE"/>
    <w:rsid w:val="00141DE7"/>
    <w:rsid w:val="0015058D"/>
    <w:rsid w:val="00152D4D"/>
    <w:rsid w:val="001554AD"/>
    <w:rsid w:val="00155548"/>
    <w:rsid w:val="0016023E"/>
    <w:rsid w:val="001619C0"/>
    <w:rsid w:val="0016474B"/>
    <w:rsid w:val="00165173"/>
    <w:rsid w:val="0016615C"/>
    <w:rsid w:val="00171BF2"/>
    <w:rsid w:val="0017201E"/>
    <w:rsid w:val="00175316"/>
    <w:rsid w:val="00176189"/>
    <w:rsid w:val="00180E87"/>
    <w:rsid w:val="001810C4"/>
    <w:rsid w:val="0018280A"/>
    <w:rsid w:val="0018319F"/>
    <w:rsid w:val="00183769"/>
    <w:rsid w:val="001911D6"/>
    <w:rsid w:val="001A092A"/>
    <w:rsid w:val="001A1465"/>
    <w:rsid w:val="001A4E5C"/>
    <w:rsid w:val="001A4F1F"/>
    <w:rsid w:val="001B05EA"/>
    <w:rsid w:val="001B0CD6"/>
    <w:rsid w:val="001B1E8E"/>
    <w:rsid w:val="001B38B9"/>
    <w:rsid w:val="001B5500"/>
    <w:rsid w:val="001B5FDE"/>
    <w:rsid w:val="001B6CCF"/>
    <w:rsid w:val="001B734D"/>
    <w:rsid w:val="001B7A05"/>
    <w:rsid w:val="001C15A4"/>
    <w:rsid w:val="001C16A3"/>
    <w:rsid w:val="001C5A5D"/>
    <w:rsid w:val="001C5B2C"/>
    <w:rsid w:val="001C6964"/>
    <w:rsid w:val="001E0171"/>
    <w:rsid w:val="001E4297"/>
    <w:rsid w:val="001E717A"/>
    <w:rsid w:val="001E7F81"/>
    <w:rsid w:val="001F475F"/>
    <w:rsid w:val="00202F6B"/>
    <w:rsid w:val="00204A0D"/>
    <w:rsid w:val="00224F77"/>
    <w:rsid w:val="00230306"/>
    <w:rsid w:val="00230370"/>
    <w:rsid w:val="00236973"/>
    <w:rsid w:val="00242F78"/>
    <w:rsid w:val="002441CB"/>
    <w:rsid w:val="00245DDB"/>
    <w:rsid w:val="00250115"/>
    <w:rsid w:val="00250F5F"/>
    <w:rsid w:val="002515C8"/>
    <w:rsid w:val="002548D1"/>
    <w:rsid w:val="0025522E"/>
    <w:rsid w:val="00262F58"/>
    <w:rsid w:val="0026503C"/>
    <w:rsid w:val="00265B6D"/>
    <w:rsid w:val="00266DE8"/>
    <w:rsid w:val="002678FF"/>
    <w:rsid w:val="00267BED"/>
    <w:rsid w:val="0027078D"/>
    <w:rsid w:val="002725E5"/>
    <w:rsid w:val="00272B80"/>
    <w:rsid w:val="0027306F"/>
    <w:rsid w:val="00277DD9"/>
    <w:rsid w:val="00285219"/>
    <w:rsid w:val="00287590"/>
    <w:rsid w:val="00290137"/>
    <w:rsid w:val="0029042C"/>
    <w:rsid w:val="00294B13"/>
    <w:rsid w:val="002A47B2"/>
    <w:rsid w:val="002A47D5"/>
    <w:rsid w:val="002A5860"/>
    <w:rsid w:val="002A754F"/>
    <w:rsid w:val="002B041A"/>
    <w:rsid w:val="002B11AB"/>
    <w:rsid w:val="002B348F"/>
    <w:rsid w:val="002B45C7"/>
    <w:rsid w:val="002B6267"/>
    <w:rsid w:val="002B665A"/>
    <w:rsid w:val="002B76AC"/>
    <w:rsid w:val="002C40C1"/>
    <w:rsid w:val="002D37DD"/>
    <w:rsid w:val="002D4D87"/>
    <w:rsid w:val="002E14E6"/>
    <w:rsid w:val="002E6956"/>
    <w:rsid w:val="002F2BED"/>
    <w:rsid w:val="003006BA"/>
    <w:rsid w:val="00302CEE"/>
    <w:rsid w:val="00304168"/>
    <w:rsid w:val="00306B35"/>
    <w:rsid w:val="00310533"/>
    <w:rsid w:val="00322ECF"/>
    <w:rsid w:val="00325A6C"/>
    <w:rsid w:val="0032662F"/>
    <w:rsid w:val="0034043C"/>
    <w:rsid w:val="00344787"/>
    <w:rsid w:val="00347B36"/>
    <w:rsid w:val="003542A5"/>
    <w:rsid w:val="00355B46"/>
    <w:rsid w:val="0035689A"/>
    <w:rsid w:val="00357E9C"/>
    <w:rsid w:val="0036024F"/>
    <w:rsid w:val="00361551"/>
    <w:rsid w:val="00365D04"/>
    <w:rsid w:val="00366515"/>
    <w:rsid w:val="00367343"/>
    <w:rsid w:val="00373CEF"/>
    <w:rsid w:val="003741E3"/>
    <w:rsid w:val="00376611"/>
    <w:rsid w:val="00383171"/>
    <w:rsid w:val="00383F2A"/>
    <w:rsid w:val="00386B1C"/>
    <w:rsid w:val="003900BB"/>
    <w:rsid w:val="0039106C"/>
    <w:rsid w:val="003978A1"/>
    <w:rsid w:val="003A1F76"/>
    <w:rsid w:val="003A7ABC"/>
    <w:rsid w:val="003B2B27"/>
    <w:rsid w:val="003C0C3C"/>
    <w:rsid w:val="003C2F3E"/>
    <w:rsid w:val="003C46AE"/>
    <w:rsid w:val="003C484E"/>
    <w:rsid w:val="003C6030"/>
    <w:rsid w:val="003D1CFD"/>
    <w:rsid w:val="003D2340"/>
    <w:rsid w:val="003D303D"/>
    <w:rsid w:val="003E1105"/>
    <w:rsid w:val="003E172C"/>
    <w:rsid w:val="003E2064"/>
    <w:rsid w:val="003E2AB0"/>
    <w:rsid w:val="003E5F8D"/>
    <w:rsid w:val="003E700B"/>
    <w:rsid w:val="003E7194"/>
    <w:rsid w:val="003F020E"/>
    <w:rsid w:val="003F092A"/>
    <w:rsid w:val="003F3A75"/>
    <w:rsid w:val="003F6485"/>
    <w:rsid w:val="00401E9F"/>
    <w:rsid w:val="0040413A"/>
    <w:rsid w:val="00405C78"/>
    <w:rsid w:val="0041621F"/>
    <w:rsid w:val="00416549"/>
    <w:rsid w:val="00420C0F"/>
    <w:rsid w:val="004218BD"/>
    <w:rsid w:val="004218E4"/>
    <w:rsid w:val="00426233"/>
    <w:rsid w:val="00427482"/>
    <w:rsid w:val="0042782F"/>
    <w:rsid w:val="00431664"/>
    <w:rsid w:val="00432D42"/>
    <w:rsid w:val="00433A4B"/>
    <w:rsid w:val="00435960"/>
    <w:rsid w:val="0043743C"/>
    <w:rsid w:val="00442B1D"/>
    <w:rsid w:val="004455EE"/>
    <w:rsid w:val="0044602C"/>
    <w:rsid w:val="004463C6"/>
    <w:rsid w:val="00446606"/>
    <w:rsid w:val="0044688B"/>
    <w:rsid w:val="0045081C"/>
    <w:rsid w:val="004522A3"/>
    <w:rsid w:val="00452625"/>
    <w:rsid w:val="00455078"/>
    <w:rsid w:val="00461143"/>
    <w:rsid w:val="00462DAD"/>
    <w:rsid w:val="00462FA9"/>
    <w:rsid w:val="00463C8B"/>
    <w:rsid w:val="004655B4"/>
    <w:rsid w:val="0046591E"/>
    <w:rsid w:val="0046756D"/>
    <w:rsid w:val="004732E5"/>
    <w:rsid w:val="00473D4C"/>
    <w:rsid w:val="00474BBE"/>
    <w:rsid w:val="004777F8"/>
    <w:rsid w:val="00477A78"/>
    <w:rsid w:val="00480055"/>
    <w:rsid w:val="00480BD9"/>
    <w:rsid w:val="00483DCD"/>
    <w:rsid w:val="00490249"/>
    <w:rsid w:val="004908C2"/>
    <w:rsid w:val="00490F07"/>
    <w:rsid w:val="00492068"/>
    <w:rsid w:val="00494555"/>
    <w:rsid w:val="004A0B76"/>
    <w:rsid w:val="004B2B3D"/>
    <w:rsid w:val="004B32A7"/>
    <w:rsid w:val="004B7A63"/>
    <w:rsid w:val="004C215F"/>
    <w:rsid w:val="004C216F"/>
    <w:rsid w:val="004C5F9A"/>
    <w:rsid w:val="004D0D48"/>
    <w:rsid w:val="004D2CD1"/>
    <w:rsid w:val="004D712B"/>
    <w:rsid w:val="004D7F38"/>
    <w:rsid w:val="004E1004"/>
    <w:rsid w:val="004E3BFF"/>
    <w:rsid w:val="004E4ECC"/>
    <w:rsid w:val="004E6414"/>
    <w:rsid w:val="004F58C1"/>
    <w:rsid w:val="004F6961"/>
    <w:rsid w:val="00500765"/>
    <w:rsid w:val="005046A8"/>
    <w:rsid w:val="00504AD1"/>
    <w:rsid w:val="00507350"/>
    <w:rsid w:val="00507A0D"/>
    <w:rsid w:val="00510F51"/>
    <w:rsid w:val="00521887"/>
    <w:rsid w:val="00521BCC"/>
    <w:rsid w:val="00523A25"/>
    <w:rsid w:val="00527ABE"/>
    <w:rsid w:val="00530C3E"/>
    <w:rsid w:val="005329D3"/>
    <w:rsid w:val="00533BA3"/>
    <w:rsid w:val="00534F76"/>
    <w:rsid w:val="00535787"/>
    <w:rsid w:val="005359A3"/>
    <w:rsid w:val="00542153"/>
    <w:rsid w:val="00546093"/>
    <w:rsid w:val="00546B3E"/>
    <w:rsid w:val="00555612"/>
    <w:rsid w:val="005573C4"/>
    <w:rsid w:val="0056261B"/>
    <w:rsid w:val="00562F80"/>
    <w:rsid w:val="005646BC"/>
    <w:rsid w:val="005670A1"/>
    <w:rsid w:val="005671C2"/>
    <w:rsid w:val="005726A6"/>
    <w:rsid w:val="0057292F"/>
    <w:rsid w:val="00574614"/>
    <w:rsid w:val="00575EAA"/>
    <w:rsid w:val="005775EE"/>
    <w:rsid w:val="00587E0E"/>
    <w:rsid w:val="00590AF5"/>
    <w:rsid w:val="00593B06"/>
    <w:rsid w:val="00596491"/>
    <w:rsid w:val="005A4F55"/>
    <w:rsid w:val="005A511D"/>
    <w:rsid w:val="005A53A9"/>
    <w:rsid w:val="005B53FA"/>
    <w:rsid w:val="005B55D8"/>
    <w:rsid w:val="005B6457"/>
    <w:rsid w:val="005C56DA"/>
    <w:rsid w:val="005C6D9B"/>
    <w:rsid w:val="005D2084"/>
    <w:rsid w:val="005D47C3"/>
    <w:rsid w:val="005D7E57"/>
    <w:rsid w:val="005E0EB3"/>
    <w:rsid w:val="005E31B1"/>
    <w:rsid w:val="005E4153"/>
    <w:rsid w:val="005E4C16"/>
    <w:rsid w:val="005E6BBC"/>
    <w:rsid w:val="005F0A58"/>
    <w:rsid w:val="005F130C"/>
    <w:rsid w:val="005F1E5C"/>
    <w:rsid w:val="005F2395"/>
    <w:rsid w:val="005F36D5"/>
    <w:rsid w:val="005F40D3"/>
    <w:rsid w:val="005F6A15"/>
    <w:rsid w:val="006008EF"/>
    <w:rsid w:val="0060222E"/>
    <w:rsid w:val="00606C05"/>
    <w:rsid w:val="00607BFF"/>
    <w:rsid w:val="00607C4E"/>
    <w:rsid w:val="00615EAA"/>
    <w:rsid w:val="00624D85"/>
    <w:rsid w:val="006251E5"/>
    <w:rsid w:val="006256D0"/>
    <w:rsid w:val="00626765"/>
    <w:rsid w:val="00632765"/>
    <w:rsid w:val="00642446"/>
    <w:rsid w:val="0064721C"/>
    <w:rsid w:val="0065035A"/>
    <w:rsid w:val="00650777"/>
    <w:rsid w:val="006515EF"/>
    <w:rsid w:val="0065606A"/>
    <w:rsid w:val="00661691"/>
    <w:rsid w:val="006640D9"/>
    <w:rsid w:val="0067262D"/>
    <w:rsid w:val="006761EC"/>
    <w:rsid w:val="00676CBC"/>
    <w:rsid w:val="0068065C"/>
    <w:rsid w:val="00683269"/>
    <w:rsid w:val="0068339F"/>
    <w:rsid w:val="00683FAC"/>
    <w:rsid w:val="006851C8"/>
    <w:rsid w:val="0068798D"/>
    <w:rsid w:val="00690938"/>
    <w:rsid w:val="006914BA"/>
    <w:rsid w:val="006930B7"/>
    <w:rsid w:val="006939A0"/>
    <w:rsid w:val="006A1A25"/>
    <w:rsid w:val="006B08F0"/>
    <w:rsid w:val="006B3563"/>
    <w:rsid w:val="006B5A76"/>
    <w:rsid w:val="006B5AFC"/>
    <w:rsid w:val="006C10FC"/>
    <w:rsid w:val="006C655B"/>
    <w:rsid w:val="006C7A72"/>
    <w:rsid w:val="006D015D"/>
    <w:rsid w:val="006D0F42"/>
    <w:rsid w:val="006D1527"/>
    <w:rsid w:val="006D55F2"/>
    <w:rsid w:val="006D6C05"/>
    <w:rsid w:val="006E06EF"/>
    <w:rsid w:val="006E4E94"/>
    <w:rsid w:val="006F7BE6"/>
    <w:rsid w:val="007058F6"/>
    <w:rsid w:val="00706566"/>
    <w:rsid w:val="007068C4"/>
    <w:rsid w:val="00706C18"/>
    <w:rsid w:val="007109D1"/>
    <w:rsid w:val="00715C44"/>
    <w:rsid w:val="0072118E"/>
    <w:rsid w:val="00722577"/>
    <w:rsid w:val="00731E1B"/>
    <w:rsid w:val="00741857"/>
    <w:rsid w:val="007455EB"/>
    <w:rsid w:val="00753EE9"/>
    <w:rsid w:val="0075480B"/>
    <w:rsid w:val="007666FE"/>
    <w:rsid w:val="00770659"/>
    <w:rsid w:val="00790EEB"/>
    <w:rsid w:val="007917D2"/>
    <w:rsid w:val="00792D41"/>
    <w:rsid w:val="0079359A"/>
    <w:rsid w:val="0079452A"/>
    <w:rsid w:val="007A6B71"/>
    <w:rsid w:val="007B2933"/>
    <w:rsid w:val="007B489F"/>
    <w:rsid w:val="007B5818"/>
    <w:rsid w:val="007B6443"/>
    <w:rsid w:val="007B6D9D"/>
    <w:rsid w:val="007C1FEF"/>
    <w:rsid w:val="007C3B1A"/>
    <w:rsid w:val="007C539C"/>
    <w:rsid w:val="007C61B3"/>
    <w:rsid w:val="007C6FE2"/>
    <w:rsid w:val="007D26CA"/>
    <w:rsid w:val="007D3309"/>
    <w:rsid w:val="007D42A7"/>
    <w:rsid w:val="007D5C29"/>
    <w:rsid w:val="007E27DD"/>
    <w:rsid w:val="007E5E0A"/>
    <w:rsid w:val="007E7114"/>
    <w:rsid w:val="007F5582"/>
    <w:rsid w:val="0080295A"/>
    <w:rsid w:val="00811535"/>
    <w:rsid w:val="00813566"/>
    <w:rsid w:val="00814438"/>
    <w:rsid w:val="00821263"/>
    <w:rsid w:val="00826FEE"/>
    <w:rsid w:val="0083337E"/>
    <w:rsid w:val="008339F0"/>
    <w:rsid w:val="00837005"/>
    <w:rsid w:val="00841D8D"/>
    <w:rsid w:val="008435F2"/>
    <w:rsid w:val="00844511"/>
    <w:rsid w:val="00844C34"/>
    <w:rsid w:val="008461E7"/>
    <w:rsid w:val="00853042"/>
    <w:rsid w:val="00853F56"/>
    <w:rsid w:val="00861845"/>
    <w:rsid w:val="00861F38"/>
    <w:rsid w:val="00862771"/>
    <w:rsid w:val="0086336E"/>
    <w:rsid w:val="00864B3D"/>
    <w:rsid w:val="00865415"/>
    <w:rsid w:val="0086657F"/>
    <w:rsid w:val="008669F6"/>
    <w:rsid w:val="00867E03"/>
    <w:rsid w:val="00874DBE"/>
    <w:rsid w:val="008759D7"/>
    <w:rsid w:val="00876B57"/>
    <w:rsid w:val="00876DC3"/>
    <w:rsid w:val="008847D4"/>
    <w:rsid w:val="008850FB"/>
    <w:rsid w:val="00886B41"/>
    <w:rsid w:val="00886D92"/>
    <w:rsid w:val="00887679"/>
    <w:rsid w:val="00887B0D"/>
    <w:rsid w:val="0089024E"/>
    <w:rsid w:val="008906D5"/>
    <w:rsid w:val="0089218B"/>
    <w:rsid w:val="00892B25"/>
    <w:rsid w:val="008A2445"/>
    <w:rsid w:val="008A4807"/>
    <w:rsid w:val="008A5242"/>
    <w:rsid w:val="008A5E6D"/>
    <w:rsid w:val="008A7320"/>
    <w:rsid w:val="008A733B"/>
    <w:rsid w:val="008B7D0B"/>
    <w:rsid w:val="008C24DA"/>
    <w:rsid w:val="008C4AA6"/>
    <w:rsid w:val="008C6BFF"/>
    <w:rsid w:val="008E3328"/>
    <w:rsid w:val="008E4A42"/>
    <w:rsid w:val="008E6799"/>
    <w:rsid w:val="008F2957"/>
    <w:rsid w:val="008F35D4"/>
    <w:rsid w:val="008F7D13"/>
    <w:rsid w:val="009053C1"/>
    <w:rsid w:val="00906F3C"/>
    <w:rsid w:val="009075FB"/>
    <w:rsid w:val="009076B9"/>
    <w:rsid w:val="0091506F"/>
    <w:rsid w:val="009240A0"/>
    <w:rsid w:val="00925C10"/>
    <w:rsid w:val="0093450E"/>
    <w:rsid w:val="00937095"/>
    <w:rsid w:val="0094470D"/>
    <w:rsid w:val="00946D38"/>
    <w:rsid w:val="009510A0"/>
    <w:rsid w:val="00951302"/>
    <w:rsid w:val="00956601"/>
    <w:rsid w:val="0095738A"/>
    <w:rsid w:val="00961B05"/>
    <w:rsid w:val="00963684"/>
    <w:rsid w:val="009643E9"/>
    <w:rsid w:val="00966510"/>
    <w:rsid w:val="009676D2"/>
    <w:rsid w:val="009709AE"/>
    <w:rsid w:val="009741FC"/>
    <w:rsid w:val="00975EF4"/>
    <w:rsid w:val="009801A8"/>
    <w:rsid w:val="00980820"/>
    <w:rsid w:val="0098220D"/>
    <w:rsid w:val="00983871"/>
    <w:rsid w:val="00984E1D"/>
    <w:rsid w:val="009851BB"/>
    <w:rsid w:val="0098693D"/>
    <w:rsid w:val="00990B31"/>
    <w:rsid w:val="00992984"/>
    <w:rsid w:val="00995554"/>
    <w:rsid w:val="00996AE3"/>
    <w:rsid w:val="009A337B"/>
    <w:rsid w:val="009B0383"/>
    <w:rsid w:val="009B4A57"/>
    <w:rsid w:val="009C0EB7"/>
    <w:rsid w:val="009C188A"/>
    <w:rsid w:val="009C64B3"/>
    <w:rsid w:val="009C7048"/>
    <w:rsid w:val="009D1DBF"/>
    <w:rsid w:val="009D2853"/>
    <w:rsid w:val="009D317F"/>
    <w:rsid w:val="009D336E"/>
    <w:rsid w:val="009D3832"/>
    <w:rsid w:val="009D6007"/>
    <w:rsid w:val="009E03B9"/>
    <w:rsid w:val="009E10DF"/>
    <w:rsid w:val="009E1382"/>
    <w:rsid w:val="009E2031"/>
    <w:rsid w:val="009E528E"/>
    <w:rsid w:val="009E52FC"/>
    <w:rsid w:val="009E7B83"/>
    <w:rsid w:val="009F0FC8"/>
    <w:rsid w:val="009F4C4F"/>
    <w:rsid w:val="009F7DE3"/>
    <w:rsid w:val="00A10857"/>
    <w:rsid w:val="00A11409"/>
    <w:rsid w:val="00A115C1"/>
    <w:rsid w:val="00A12FD8"/>
    <w:rsid w:val="00A13957"/>
    <w:rsid w:val="00A16A23"/>
    <w:rsid w:val="00A21E62"/>
    <w:rsid w:val="00A229F3"/>
    <w:rsid w:val="00A23482"/>
    <w:rsid w:val="00A25D91"/>
    <w:rsid w:val="00A2700E"/>
    <w:rsid w:val="00A278E9"/>
    <w:rsid w:val="00A31992"/>
    <w:rsid w:val="00A31D3B"/>
    <w:rsid w:val="00A31D68"/>
    <w:rsid w:val="00A343CB"/>
    <w:rsid w:val="00A34A60"/>
    <w:rsid w:val="00A402F9"/>
    <w:rsid w:val="00A449CD"/>
    <w:rsid w:val="00A47929"/>
    <w:rsid w:val="00A51049"/>
    <w:rsid w:val="00A54F66"/>
    <w:rsid w:val="00A64F3E"/>
    <w:rsid w:val="00A70E6A"/>
    <w:rsid w:val="00A7678F"/>
    <w:rsid w:val="00A7720F"/>
    <w:rsid w:val="00A804DE"/>
    <w:rsid w:val="00A81515"/>
    <w:rsid w:val="00A843EC"/>
    <w:rsid w:val="00A87409"/>
    <w:rsid w:val="00A90FB7"/>
    <w:rsid w:val="00A916B6"/>
    <w:rsid w:val="00A9259C"/>
    <w:rsid w:val="00A93F83"/>
    <w:rsid w:val="00A963EA"/>
    <w:rsid w:val="00AA19E1"/>
    <w:rsid w:val="00AA1D79"/>
    <w:rsid w:val="00AA3757"/>
    <w:rsid w:val="00AA4401"/>
    <w:rsid w:val="00AA5DD0"/>
    <w:rsid w:val="00AA776E"/>
    <w:rsid w:val="00AB1C35"/>
    <w:rsid w:val="00AB3859"/>
    <w:rsid w:val="00AB3E81"/>
    <w:rsid w:val="00AC0744"/>
    <w:rsid w:val="00AC0AD4"/>
    <w:rsid w:val="00AC141E"/>
    <w:rsid w:val="00AC1894"/>
    <w:rsid w:val="00AC2CF3"/>
    <w:rsid w:val="00AC3A7D"/>
    <w:rsid w:val="00AC567F"/>
    <w:rsid w:val="00AD0426"/>
    <w:rsid w:val="00AD11A3"/>
    <w:rsid w:val="00AD1AF0"/>
    <w:rsid w:val="00AD75EE"/>
    <w:rsid w:val="00AE0038"/>
    <w:rsid w:val="00AE23DE"/>
    <w:rsid w:val="00AE3CD6"/>
    <w:rsid w:val="00AE7063"/>
    <w:rsid w:val="00AF125D"/>
    <w:rsid w:val="00AF4474"/>
    <w:rsid w:val="00AF6D80"/>
    <w:rsid w:val="00B00F6E"/>
    <w:rsid w:val="00B043E6"/>
    <w:rsid w:val="00B0519F"/>
    <w:rsid w:val="00B051AB"/>
    <w:rsid w:val="00B10678"/>
    <w:rsid w:val="00B11FD8"/>
    <w:rsid w:val="00B122D4"/>
    <w:rsid w:val="00B201C3"/>
    <w:rsid w:val="00B26B69"/>
    <w:rsid w:val="00B27A05"/>
    <w:rsid w:val="00B34157"/>
    <w:rsid w:val="00B34486"/>
    <w:rsid w:val="00B40993"/>
    <w:rsid w:val="00B42A83"/>
    <w:rsid w:val="00B463E3"/>
    <w:rsid w:val="00B47C9F"/>
    <w:rsid w:val="00B55A2E"/>
    <w:rsid w:val="00B56FB6"/>
    <w:rsid w:val="00B61DE0"/>
    <w:rsid w:val="00B63EAC"/>
    <w:rsid w:val="00B64AD5"/>
    <w:rsid w:val="00B67FBC"/>
    <w:rsid w:val="00B7168C"/>
    <w:rsid w:val="00B80D5A"/>
    <w:rsid w:val="00B82D9B"/>
    <w:rsid w:val="00B830A6"/>
    <w:rsid w:val="00B85B3A"/>
    <w:rsid w:val="00B909E2"/>
    <w:rsid w:val="00B92C77"/>
    <w:rsid w:val="00B95889"/>
    <w:rsid w:val="00B95BA9"/>
    <w:rsid w:val="00B95D51"/>
    <w:rsid w:val="00BA2B02"/>
    <w:rsid w:val="00BA55C8"/>
    <w:rsid w:val="00BA77E8"/>
    <w:rsid w:val="00BA7B2F"/>
    <w:rsid w:val="00BB6E24"/>
    <w:rsid w:val="00BB76AD"/>
    <w:rsid w:val="00BC1257"/>
    <w:rsid w:val="00BC2191"/>
    <w:rsid w:val="00BD29B6"/>
    <w:rsid w:val="00BE013A"/>
    <w:rsid w:val="00BE0165"/>
    <w:rsid w:val="00BE1FCC"/>
    <w:rsid w:val="00BE46B3"/>
    <w:rsid w:val="00BE6908"/>
    <w:rsid w:val="00BF51A1"/>
    <w:rsid w:val="00BF5928"/>
    <w:rsid w:val="00BF7326"/>
    <w:rsid w:val="00C0364D"/>
    <w:rsid w:val="00C07479"/>
    <w:rsid w:val="00C074B6"/>
    <w:rsid w:val="00C1185A"/>
    <w:rsid w:val="00C12497"/>
    <w:rsid w:val="00C13030"/>
    <w:rsid w:val="00C15D3F"/>
    <w:rsid w:val="00C3157B"/>
    <w:rsid w:val="00C3392D"/>
    <w:rsid w:val="00C34D65"/>
    <w:rsid w:val="00C420A2"/>
    <w:rsid w:val="00C449CA"/>
    <w:rsid w:val="00C44D85"/>
    <w:rsid w:val="00C4556E"/>
    <w:rsid w:val="00C53E6F"/>
    <w:rsid w:val="00C5458A"/>
    <w:rsid w:val="00C56A6E"/>
    <w:rsid w:val="00C56A7B"/>
    <w:rsid w:val="00C5794C"/>
    <w:rsid w:val="00C638D0"/>
    <w:rsid w:val="00C65E56"/>
    <w:rsid w:val="00C806A2"/>
    <w:rsid w:val="00C86F1C"/>
    <w:rsid w:val="00C923F7"/>
    <w:rsid w:val="00C942C8"/>
    <w:rsid w:val="00C97D14"/>
    <w:rsid w:val="00C97D28"/>
    <w:rsid w:val="00CA258F"/>
    <w:rsid w:val="00CA46DB"/>
    <w:rsid w:val="00CA558F"/>
    <w:rsid w:val="00CA62DB"/>
    <w:rsid w:val="00CA7AC7"/>
    <w:rsid w:val="00CA7C0A"/>
    <w:rsid w:val="00CB0152"/>
    <w:rsid w:val="00CC1091"/>
    <w:rsid w:val="00CC4E8E"/>
    <w:rsid w:val="00CD269F"/>
    <w:rsid w:val="00CD4669"/>
    <w:rsid w:val="00CD5F75"/>
    <w:rsid w:val="00CE0584"/>
    <w:rsid w:val="00CE116D"/>
    <w:rsid w:val="00CE2E18"/>
    <w:rsid w:val="00CE2EDB"/>
    <w:rsid w:val="00CE389F"/>
    <w:rsid w:val="00CF3167"/>
    <w:rsid w:val="00CF3964"/>
    <w:rsid w:val="00CF3EAD"/>
    <w:rsid w:val="00CF4752"/>
    <w:rsid w:val="00CF665B"/>
    <w:rsid w:val="00CF74EC"/>
    <w:rsid w:val="00D02BD8"/>
    <w:rsid w:val="00D02F2B"/>
    <w:rsid w:val="00D076CD"/>
    <w:rsid w:val="00D141AC"/>
    <w:rsid w:val="00D1737F"/>
    <w:rsid w:val="00D174F7"/>
    <w:rsid w:val="00D2276F"/>
    <w:rsid w:val="00D355B3"/>
    <w:rsid w:val="00D36F98"/>
    <w:rsid w:val="00D41436"/>
    <w:rsid w:val="00D461D6"/>
    <w:rsid w:val="00D46BDD"/>
    <w:rsid w:val="00D50A46"/>
    <w:rsid w:val="00D55BE5"/>
    <w:rsid w:val="00D5628A"/>
    <w:rsid w:val="00D56B98"/>
    <w:rsid w:val="00D5791B"/>
    <w:rsid w:val="00D64180"/>
    <w:rsid w:val="00D66417"/>
    <w:rsid w:val="00D756BF"/>
    <w:rsid w:val="00D8085C"/>
    <w:rsid w:val="00D81808"/>
    <w:rsid w:val="00D82A33"/>
    <w:rsid w:val="00D82B5A"/>
    <w:rsid w:val="00D84ACC"/>
    <w:rsid w:val="00D92255"/>
    <w:rsid w:val="00D979BA"/>
    <w:rsid w:val="00DA25A6"/>
    <w:rsid w:val="00DA341A"/>
    <w:rsid w:val="00DA3E4E"/>
    <w:rsid w:val="00DA517F"/>
    <w:rsid w:val="00DA68AB"/>
    <w:rsid w:val="00DB7FE8"/>
    <w:rsid w:val="00DC08AC"/>
    <w:rsid w:val="00DC091B"/>
    <w:rsid w:val="00DC1569"/>
    <w:rsid w:val="00DC16C4"/>
    <w:rsid w:val="00DC27F0"/>
    <w:rsid w:val="00DC4618"/>
    <w:rsid w:val="00DD0949"/>
    <w:rsid w:val="00DD1956"/>
    <w:rsid w:val="00DD36DD"/>
    <w:rsid w:val="00DD5D72"/>
    <w:rsid w:val="00DE043A"/>
    <w:rsid w:val="00DE2184"/>
    <w:rsid w:val="00DE5AE6"/>
    <w:rsid w:val="00DF03F9"/>
    <w:rsid w:val="00DF44D2"/>
    <w:rsid w:val="00E06709"/>
    <w:rsid w:val="00E079E1"/>
    <w:rsid w:val="00E116AB"/>
    <w:rsid w:val="00E16804"/>
    <w:rsid w:val="00E22BB0"/>
    <w:rsid w:val="00E31E26"/>
    <w:rsid w:val="00E33D37"/>
    <w:rsid w:val="00E4415B"/>
    <w:rsid w:val="00E477C7"/>
    <w:rsid w:val="00E60EDD"/>
    <w:rsid w:val="00E61597"/>
    <w:rsid w:val="00E659DF"/>
    <w:rsid w:val="00E66526"/>
    <w:rsid w:val="00E72B00"/>
    <w:rsid w:val="00E76C5F"/>
    <w:rsid w:val="00E77095"/>
    <w:rsid w:val="00E8227D"/>
    <w:rsid w:val="00E917C6"/>
    <w:rsid w:val="00E92293"/>
    <w:rsid w:val="00E92626"/>
    <w:rsid w:val="00EA2360"/>
    <w:rsid w:val="00EA4876"/>
    <w:rsid w:val="00EA7DE1"/>
    <w:rsid w:val="00EB1C30"/>
    <w:rsid w:val="00EB38A5"/>
    <w:rsid w:val="00EB516C"/>
    <w:rsid w:val="00EC2185"/>
    <w:rsid w:val="00ED4DFD"/>
    <w:rsid w:val="00EE1916"/>
    <w:rsid w:val="00EF18CF"/>
    <w:rsid w:val="00EF208C"/>
    <w:rsid w:val="00EF3234"/>
    <w:rsid w:val="00EF38CF"/>
    <w:rsid w:val="00EF4567"/>
    <w:rsid w:val="00EF6B83"/>
    <w:rsid w:val="00F0015F"/>
    <w:rsid w:val="00F01EF9"/>
    <w:rsid w:val="00F07026"/>
    <w:rsid w:val="00F13095"/>
    <w:rsid w:val="00F1591B"/>
    <w:rsid w:val="00F17FC3"/>
    <w:rsid w:val="00F21AD6"/>
    <w:rsid w:val="00F32B79"/>
    <w:rsid w:val="00F331C1"/>
    <w:rsid w:val="00F333DE"/>
    <w:rsid w:val="00F3503D"/>
    <w:rsid w:val="00F40138"/>
    <w:rsid w:val="00F4545B"/>
    <w:rsid w:val="00F46907"/>
    <w:rsid w:val="00F47218"/>
    <w:rsid w:val="00F53FAD"/>
    <w:rsid w:val="00F622C7"/>
    <w:rsid w:val="00F71314"/>
    <w:rsid w:val="00F7331F"/>
    <w:rsid w:val="00F77F53"/>
    <w:rsid w:val="00F863F4"/>
    <w:rsid w:val="00F94A49"/>
    <w:rsid w:val="00F958AA"/>
    <w:rsid w:val="00F97DB9"/>
    <w:rsid w:val="00FA4296"/>
    <w:rsid w:val="00FA5422"/>
    <w:rsid w:val="00FA5F11"/>
    <w:rsid w:val="00FA766E"/>
    <w:rsid w:val="00FB06EF"/>
    <w:rsid w:val="00FB74E4"/>
    <w:rsid w:val="00FC4621"/>
    <w:rsid w:val="00FC5BB7"/>
    <w:rsid w:val="00FC5DBA"/>
    <w:rsid w:val="00FD3676"/>
    <w:rsid w:val="00FD7BB3"/>
    <w:rsid w:val="00FE01F3"/>
    <w:rsid w:val="00FE57D2"/>
    <w:rsid w:val="00FE75BE"/>
    <w:rsid w:val="00FF0177"/>
    <w:rsid w:val="00FF1C5B"/>
    <w:rsid w:val="00FF298C"/>
    <w:rsid w:val="00FF335D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2039E"/>
  <w14:defaultImageDpi w14:val="32767"/>
  <w15:chartTrackingRefBased/>
  <w15:docId w15:val="{354297EF-F0CF-BE4A-B78B-2E9D164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0E"/>
    <w:pPr>
      <w:spacing w:line="276" w:lineRule="auto"/>
    </w:pPr>
    <w:rPr>
      <w:rFonts w:ascii="Helvetica Neue Light" w:hAnsi="Helvetica Neue Ligh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DFD"/>
    <w:pPr>
      <w:keepNext/>
      <w:keepLines/>
      <w:outlineLvl w:val="0"/>
    </w:pPr>
    <w:rPr>
      <w:rFonts w:ascii="Helvetica Neue" w:eastAsiaTheme="majorEastAsia" w:hAnsi="Helvetica Neue" w:cstheme="majorBidi"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309"/>
    <w:pPr>
      <w:outlineLvl w:val="1"/>
    </w:pPr>
    <w:rPr>
      <w:rFonts w:ascii="Helvetica Neue" w:hAnsi="Helvetica Neue"/>
      <w:i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FD8"/>
    <w:pPr>
      <w:keepNext/>
      <w:keepLines/>
      <w:spacing w:before="40"/>
      <w:outlineLvl w:val="2"/>
    </w:pPr>
    <w:rPr>
      <w:rFonts w:ascii="Helvetica Neue" w:eastAsiaTheme="majorEastAsia" w:hAnsi="Helvetica Neue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B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153"/>
  </w:style>
  <w:style w:type="paragraph" w:styleId="Footer">
    <w:name w:val="footer"/>
    <w:basedOn w:val="Normal"/>
    <w:link w:val="FooterChar"/>
    <w:uiPriority w:val="99"/>
    <w:unhideWhenUsed/>
    <w:rsid w:val="0054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153"/>
  </w:style>
  <w:style w:type="paragraph" w:styleId="Caption">
    <w:name w:val="caption"/>
    <w:basedOn w:val="Normal"/>
    <w:next w:val="Normal"/>
    <w:uiPriority w:val="35"/>
    <w:unhideWhenUsed/>
    <w:qFormat/>
    <w:rsid w:val="0029042C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9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9042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7063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267BED"/>
  </w:style>
  <w:style w:type="character" w:styleId="Hyperlink">
    <w:name w:val="Hyperlink"/>
    <w:basedOn w:val="DefaultParagraphFont"/>
    <w:uiPriority w:val="99"/>
    <w:unhideWhenUsed/>
    <w:rsid w:val="00267B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67B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4DFD"/>
    <w:rPr>
      <w:rFonts w:ascii="Helvetica Neue" w:eastAsiaTheme="majorEastAsia" w:hAnsi="Helvetica Neue" w:cstheme="majorBidi"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309"/>
    <w:rPr>
      <w:rFonts w:ascii="Helvetica Neue" w:hAnsi="Helvetica Neue" w:cs="Times New Roman"/>
      <w:i/>
      <w:color w:val="000000" w:themeColor="text1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26DF2"/>
    <w:pPr>
      <w:spacing w:after="100"/>
    </w:pPr>
    <w:rPr>
      <w:rFonts w:ascii="Times New Roman" w:hAnsi="Times New Roman"/>
    </w:rPr>
  </w:style>
  <w:style w:type="numbering" w:styleId="111111">
    <w:name w:val="Outline List 2"/>
    <w:basedOn w:val="NoList"/>
    <w:uiPriority w:val="99"/>
    <w:semiHidden/>
    <w:unhideWhenUsed/>
    <w:rsid w:val="001C5A5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9643E9"/>
    <w:pPr>
      <w:spacing w:after="100"/>
      <w:ind w:left="360"/>
    </w:pPr>
    <w:rPr>
      <w:rFonts w:ascii="Times New Roman" w:hAnsi="Times New Roman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9869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12FD8"/>
    <w:rPr>
      <w:rFonts w:ascii="Helvetica Neue" w:eastAsiaTheme="majorEastAsia" w:hAnsi="Helvetica Neue" w:cstheme="majorBidi"/>
      <w:color w:val="1F3763" w:themeColor="accent1" w:themeShade="7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PlainTable5">
    <w:name w:val="Plain Table 5"/>
    <w:basedOn w:val="TableNormal"/>
    <w:uiPriority w:val="45"/>
    <w:rsid w:val="005F1E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5F1E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9E7B8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0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C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1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1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E01F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368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F475F"/>
  </w:style>
  <w:style w:type="paragraph" w:styleId="NormalWeb">
    <w:name w:val="Normal (Web)"/>
    <w:basedOn w:val="Normal"/>
    <w:uiPriority w:val="99"/>
    <w:semiHidden/>
    <w:unhideWhenUsed/>
    <w:rsid w:val="004E4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negeo.si.edu/publication-request-for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egeo@si.ed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C6B85-763F-9C44-A107-A4C8C91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DiBenedetto, Katelyn</cp:lastModifiedBy>
  <cp:revision>6</cp:revision>
  <cp:lastPrinted>2019-02-10T23:43:00Z</cp:lastPrinted>
  <dcterms:created xsi:type="dcterms:W3CDTF">2023-07-24T20:32:00Z</dcterms:created>
  <dcterms:modified xsi:type="dcterms:W3CDTF">2023-07-24T20:39:00Z</dcterms:modified>
</cp:coreProperties>
</file>